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9388D" w14:textId="0BC3676D" w:rsidR="00F73646" w:rsidRPr="006837CF" w:rsidRDefault="00F73646" w:rsidP="006837CF">
      <w:pPr>
        <w:pStyle w:val="AD"/>
        <w:spacing w:line="276" w:lineRule="auto"/>
        <w:jc w:val="center"/>
        <w:rPr>
          <w:b/>
          <w:bCs/>
          <w:color w:val="E36C0A" w:themeColor="accent6" w:themeShade="BF"/>
          <w:sz w:val="32"/>
          <w:szCs w:val="32"/>
        </w:rPr>
      </w:pPr>
      <w:r w:rsidRPr="006837CF">
        <w:rPr>
          <w:rFonts w:hint="eastAsia"/>
          <w:b/>
          <w:bCs/>
          <w:color w:val="E36C0A" w:themeColor="accent6" w:themeShade="BF"/>
          <w:sz w:val="32"/>
          <w:szCs w:val="32"/>
        </w:rPr>
        <w:t>关于取消部分医疗机构《设置医疗机构批准书》核发加强事中事后监管工作的通知</w:t>
      </w:r>
    </w:p>
    <w:p w14:paraId="6321BF22" w14:textId="77777777" w:rsidR="00F73646" w:rsidRDefault="00F73646" w:rsidP="006837CF">
      <w:pPr>
        <w:pStyle w:val="AD"/>
        <w:spacing w:line="276" w:lineRule="auto"/>
        <w:jc w:val="center"/>
      </w:pPr>
      <w:r>
        <w:rPr>
          <w:rFonts w:hint="eastAsia"/>
        </w:rPr>
        <w:t>国卫办医函〔</w:t>
      </w:r>
      <w:r>
        <w:rPr>
          <w:rFonts w:hint="eastAsia"/>
        </w:rPr>
        <w:t>2020</w:t>
      </w:r>
      <w:r>
        <w:rPr>
          <w:rFonts w:hint="eastAsia"/>
        </w:rPr>
        <w:t>〕</w:t>
      </w:r>
      <w:r>
        <w:rPr>
          <w:rFonts w:hint="eastAsia"/>
        </w:rPr>
        <w:t>902</w:t>
      </w:r>
      <w:r>
        <w:rPr>
          <w:rFonts w:hint="eastAsia"/>
        </w:rPr>
        <w:t>号</w:t>
      </w:r>
    </w:p>
    <w:p w14:paraId="20AE6C7F" w14:textId="77777777" w:rsidR="00F73646" w:rsidRDefault="00F73646" w:rsidP="006837CF">
      <w:pPr>
        <w:pStyle w:val="AD"/>
        <w:spacing w:line="276" w:lineRule="auto"/>
      </w:pPr>
    </w:p>
    <w:p w14:paraId="5E850240" w14:textId="77777777" w:rsidR="00F73646" w:rsidRDefault="00F73646" w:rsidP="006837CF">
      <w:pPr>
        <w:pStyle w:val="AD"/>
        <w:spacing w:line="276" w:lineRule="auto"/>
      </w:pPr>
      <w:r>
        <w:rPr>
          <w:rFonts w:hint="eastAsia"/>
        </w:rPr>
        <w:t>各省、自治区、直辖市及新疆生产建设兵团卫生健康委：</w:t>
      </w:r>
    </w:p>
    <w:p w14:paraId="2FB44158" w14:textId="77777777" w:rsidR="00F73646" w:rsidRDefault="00F73646" w:rsidP="006837CF">
      <w:pPr>
        <w:pStyle w:val="AD"/>
        <w:spacing w:line="276" w:lineRule="auto"/>
      </w:pPr>
    </w:p>
    <w:p w14:paraId="313B9C9E" w14:textId="36774BFB" w:rsidR="00F73646" w:rsidRDefault="002050C9" w:rsidP="002050C9">
      <w:pPr>
        <w:pStyle w:val="AD"/>
        <w:spacing w:line="276" w:lineRule="auto"/>
      </w:pPr>
      <w:r>
        <w:rPr>
          <w:rFonts w:hint="eastAsia"/>
        </w:rPr>
        <w:t xml:space="preserve">　　</w:t>
      </w:r>
      <w:r w:rsidR="00F73646">
        <w:rPr>
          <w:rFonts w:hint="eastAsia"/>
        </w:rPr>
        <w:t>为贯彻落实《国务院关于取消和下放一批行政许可事项的决定》（国发〔</w:t>
      </w:r>
      <w:r w:rsidR="00F73646">
        <w:t>2020</w:t>
      </w:r>
      <w:r w:rsidR="00F73646">
        <w:rPr>
          <w:rFonts w:hint="eastAsia"/>
        </w:rPr>
        <w:t>〕</w:t>
      </w:r>
      <w:r w:rsidR="00F73646">
        <w:t>13</w:t>
      </w:r>
      <w:r w:rsidR="00F73646">
        <w:rPr>
          <w:rFonts w:hint="eastAsia"/>
        </w:rPr>
        <w:t>号），取消部分医疗机构（除三级医院、三级妇幼保健院、急救中心、急救站、临床检验中心、中外合资合作医疗机构、港澳台独资医疗机构外）《设置医疗机构批准书》核发，加强事中事后监管，现将有关事项通知如下：</w:t>
      </w:r>
    </w:p>
    <w:p w14:paraId="56F43675" w14:textId="77777777" w:rsidR="00F73646" w:rsidRDefault="00F73646" w:rsidP="006837CF">
      <w:pPr>
        <w:pStyle w:val="AD"/>
        <w:spacing w:line="276" w:lineRule="auto"/>
      </w:pPr>
    </w:p>
    <w:p w14:paraId="71DA1745" w14:textId="1BB3FF92" w:rsidR="00F73646" w:rsidRDefault="002050C9" w:rsidP="002050C9">
      <w:pPr>
        <w:pStyle w:val="AD"/>
        <w:spacing w:line="276" w:lineRule="auto"/>
      </w:pPr>
      <w:r>
        <w:rPr>
          <w:rFonts w:hint="eastAsia"/>
        </w:rPr>
        <w:t xml:space="preserve">　　</w:t>
      </w:r>
      <w:r w:rsidR="00F73646">
        <w:rPr>
          <w:rFonts w:hint="eastAsia"/>
        </w:rPr>
        <w:t>一、取消部分医疗机构《设置医疗机构批准书》核发</w:t>
      </w:r>
    </w:p>
    <w:p w14:paraId="56BB9A11" w14:textId="77777777" w:rsidR="00F73646" w:rsidRDefault="00F73646" w:rsidP="002050C9">
      <w:pPr>
        <w:pStyle w:val="AD"/>
        <w:spacing w:line="276" w:lineRule="auto"/>
      </w:pPr>
    </w:p>
    <w:p w14:paraId="76125C82" w14:textId="133FB1CB" w:rsidR="00F73646" w:rsidRDefault="002050C9" w:rsidP="002050C9">
      <w:pPr>
        <w:pStyle w:val="AD"/>
        <w:spacing w:line="276" w:lineRule="auto"/>
      </w:pPr>
      <w:r>
        <w:rPr>
          <w:rFonts w:hint="eastAsia"/>
        </w:rPr>
        <w:t xml:space="preserve">　　</w:t>
      </w:r>
      <w:r w:rsidR="00F73646">
        <w:rPr>
          <w:rFonts w:hint="eastAsia"/>
        </w:rPr>
        <w:t>除三级医院、三级妇幼保健院、急救中心、急救站、临床检验中心、中外合资合作医疗机构、港澳台独资医疗机构外，举办其他医疗机构的，卫生健康行政部门不再核发《设置医疗机构批准书》，在执业登记时发放《医疗机构执业许可证》。在申请执业登记前，举办人应当对设置医疗机构的可行性和对周边的影响进行研究，合理设计医疗机构的选址布局、功能定位、服务方式、诊疗科目、人员配备、床位数量、设备设施等。在申请执业登记时，申请人应当按照《医疗机构管理条例实施细则》等有关规定提交材料。卫生健康行政部门受理医疗机构执业登记申请后，应当对申请登记的医疗机构基本情况进行公示，并严格依法审核，经审核合格的，发给《医疗机构执业许可证》，并将有关信息通过电子化注册系统向社会公布；审核不合格的，一律不予登记。</w:t>
      </w:r>
    </w:p>
    <w:p w14:paraId="3973DB5E" w14:textId="77777777" w:rsidR="00F73646" w:rsidRDefault="00F73646" w:rsidP="002050C9">
      <w:pPr>
        <w:pStyle w:val="AD"/>
        <w:spacing w:line="276" w:lineRule="auto"/>
      </w:pPr>
    </w:p>
    <w:p w14:paraId="2CB36D9B" w14:textId="5298272F" w:rsidR="00F73646" w:rsidRDefault="002050C9" w:rsidP="002050C9">
      <w:pPr>
        <w:pStyle w:val="AD"/>
        <w:spacing w:line="276" w:lineRule="auto"/>
      </w:pPr>
      <w:r>
        <w:rPr>
          <w:rFonts w:hint="eastAsia"/>
        </w:rPr>
        <w:t xml:space="preserve">　　</w:t>
      </w:r>
      <w:r w:rsidR="00F73646">
        <w:rPr>
          <w:rFonts w:hint="eastAsia"/>
        </w:rPr>
        <w:t>二、强化区域医疗机构设置规划的指导作用</w:t>
      </w:r>
    </w:p>
    <w:p w14:paraId="7A809F95" w14:textId="77777777" w:rsidR="00F73646" w:rsidRDefault="00F73646" w:rsidP="002050C9">
      <w:pPr>
        <w:pStyle w:val="AD"/>
        <w:spacing w:line="276" w:lineRule="auto"/>
      </w:pPr>
    </w:p>
    <w:p w14:paraId="337713E3" w14:textId="3A21E5B2" w:rsidR="00F73646" w:rsidRDefault="002050C9" w:rsidP="002050C9">
      <w:pPr>
        <w:pStyle w:val="AD"/>
        <w:spacing w:line="276" w:lineRule="auto"/>
      </w:pPr>
      <w:r>
        <w:rPr>
          <w:rFonts w:hint="eastAsia"/>
        </w:rPr>
        <w:t xml:space="preserve">　　</w:t>
      </w:r>
      <w:r w:rsidR="00F73646">
        <w:rPr>
          <w:rFonts w:hint="eastAsia"/>
        </w:rPr>
        <w:t>各地卫生健康行政部门要优化完善本地区医疗机构设置规划，定期公开公布医疗机构数量、布局以及床位、大型设备等资源配置情况。要对社会办医疗机构实行指导性规划，鼓励社会力量在医疗资源薄弱区域或者儿科、康复、护理、精神卫生等短缺专科领域举办医疗机构。要组织做好医疗机构设置规划等政策措施的宣传解读，加强政务大厅工作人员培训，及时更新调整有关事项的办理流程和服务指南，为社会力量举办医疗机构提供便捷服务。</w:t>
      </w:r>
    </w:p>
    <w:p w14:paraId="7A42AF92" w14:textId="77777777" w:rsidR="00F73646" w:rsidRDefault="00F73646" w:rsidP="002050C9">
      <w:pPr>
        <w:pStyle w:val="AD"/>
        <w:spacing w:line="276" w:lineRule="auto"/>
      </w:pPr>
    </w:p>
    <w:p w14:paraId="6B567883" w14:textId="1C2774AE" w:rsidR="00F73646" w:rsidRDefault="002050C9" w:rsidP="002050C9">
      <w:pPr>
        <w:pStyle w:val="AD"/>
        <w:spacing w:line="276" w:lineRule="auto"/>
      </w:pPr>
      <w:r>
        <w:rPr>
          <w:rFonts w:hint="eastAsia"/>
        </w:rPr>
        <w:t xml:space="preserve">　　</w:t>
      </w:r>
      <w:r w:rsidR="00F73646">
        <w:rPr>
          <w:rFonts w:hint="eastAsia"/>
        </w:rPr>
        <w:t>三、进一步加强事中事后监管</w:t>
      </w:r>
    </w:p>
    <w:p w14:paraId="6F5A18D2" w14:textId="77777777" w:rsidR="00F73646" w:rsidRDefault="00F73646" w:rsidP="002050C9">
      <w:pPr>
        <w:pStyle w:val="AD"/>
        <w:spacing w:line="276" w:lineRule="auto"/>
      </w:pPr>
    </w:p>
    <w:p w14:paraId="6E772B65" w14:textId="2C368A9B" w:rsidR="00F73646" w:rsidRDefault="002050C9" w:rsidP="002050C9">
      <w:pPr>
        <w:pStyle w:val="AD"/>
        <w:spacing w:line="276" w:lineRule="auto"/>
      </w:pPr>
      <w:r>
        <w:rPr>
          <w:rFonts w:hint="eastAsia"/>
        </w:rPr>
        <w:t xml:space="preserve">　　</w:t>
      </w:r>
      <w:r w:rsidR="00F73646">
        <w:rPr>
          <w:rFonts w:hint="eastAsia"/>
        </w:rPr>
        <w:t>各地卫生健康行政部门要建立健全医疗卫生机构和医务人员不良执业行为计分制度，完善以执业准入注册、不良执业行为记录为基础的医疗卫生行业信用记录数据库。建立医疗卫生行业黑名单制度，加强对失信行为的记录、公示和预警。认真落实“双随机、一公开”监管机制，与专项检查、专项整治、处罚后复查等相结合，依法向社会公开监管信息。依法处理医患纠纷和医疗事故，对于投诉举报多、安全隐患大、有失信行为和严重违法违规记录的医疗卫生机构，</w:t>
      </w:r>
      <w:r w:rsidR="00F73646">
        <w:rPr>
          <w:rFonts w:hint="eastAsia"/>
        </w:rPr>
        <w:lastRenderedPageBreak/>
        <w:t>增加抽查频次、加大查处力度。</w:t>
      </w:r>
    </w:p>
    <w:p w14:paraId="11C1FC71" w14:textId="2F6ADA80" w:rsidR="00F73646" w:rsidRDefault="00F73646" w:rsidP="002050C9">
      <w:pPr>
        <w:pStyle w:val="AD"/>
        <w:spacing w:line="276" w:lineRule="auto"/>
      </w:pPr>
    </w:p>
    <w:p w14:paraId="59FE2D7A" w14:textId="77777777" w:rsidR="00F73646" w:rsidRDefault="00F73646" w:rsidP="002050C9">
      <w:pPr>
        <w:pStyle w:val="AD"/>
        <w:spacing w:line="276" w:lineRule="auto"/>
      </w:pPr>
    </w:p>
    <w:p w14:paraId="52187972" w14:textId="01AC3715" w:rsidR="00B15193" w:rsidRDefault="00F73646" w:rsidP="002050C9">
      <w:pPr>
        <w:pStyle w:val="AD"/>
        <w:spacing w:line="276" w:lineRule="auto"/>
        <w:jc w:val="right"/>
      </w:pPr>
      <w:r>
        <w:t>2020</w:t>
      </w:r>
      <w:r>
        <w:rPr>
          <w:rFonts w:hint="eastAsia"/>
        </w:rPr>
        <w:t>年</w:t>
      </w:r>
      <w:r>
        <w:t>11</w:t>
      </w:r>
      <w:r>
        <w:rPr>
          <w:rFonts w:hint="eastAsia"/>
        </w:rPr>
        <w:t>月</w:t>
      </w:r>
      <w:r>
        <w:t>3</w:t>
      </w:r>
      <w:r>
        <w:rPr>
          <w:rFonts w:hint="eastAsia"/>
        </w:rPr>
        <w:t>日</w:t>
      </w:r>
    </w:p>
    <w:p w14:paraId="5D00950C" w14:textId="7A62D2F5" w:rsidR="00F73646" w:rsidRDefault="00F73646" w:rsidP="006837CF">
      <w:pPr>
        <w:pStyle w:val="AD"/>
        <w:spacing w:line="276" w:lineRule="auto"/>
      </w:pPr>
    </w:p>
    <w:p w14:paraId="3C440CE5" w14:textId="19AF8BD4" w:rsidR="00F73646" w:rsidRDefault="00F73646" w:rsidP="006837CF">
      <w:pPr>
        <w:pStyle w:val="AD"/>
        <w:spacing w:line="276" w:lineRule="auto"/>
      </w:pPr>
    </w:p>
    <w:p w14:paraId="261C80B5" w14:textId="77777777" w:rsidR="00F73646" w:rsidRDefault="00F73646" w:rsidP="006837CF">
      <w:pPr>
        <w:pStyle w:val="AD"/>
        <w:spacing w:line="276" w:lineRule="auto"/>
      </w:pPr>
      <w:r>
        <w:rPr>
          <w:rFonts w:hint="eastAsia"/>
        </w:rPr>
        <w:t>信息来源：</w:t>
      </w:r>
    </w:p>
    <w:p w14:paraId="7E94074C" w14:textId="51F9ED52" w:rsidR="00F73646" w:rsidRDefault="007A4824" w:rsidP="006837CF">
      <w:pPr>
        <w:pStyle w:val="AD"/>
        <w:spacing w:line="276" w:lineRule="auto"/>
      </w:pPr>
      <w:hyperlink r:id="rId6" w:history="1">
        <w:r w:rsidR="008407BB" w:rsidRPr="00BA77B1">
          <w:rPr>
            <w:rStyle w:val="a7"/>
          </w:rPr>
          <w:t>http://www.nhc.gov.cn/yzygj/s7655/202011/dca5084ca25b4d1cad51f04f1f2b5a61.shtml</w:t>
        </w:r>
      </w:hyperlink>
    </w:p>
    <w:p w14:paraId="1077A9D5" w14:textId="77777777" w:rsidR="00F73646" w:rsidRPr="00F73646" w:rsidRDefault="00F73646" w:rsidP="006837CF">
      <w:pPr>
        <w:pStyle w:val="AD"/>
        <w:spacing w:line="276" w:lineRule="auto"/>
      </w:pPr>
    </w:p>
    <w:sectPr w:rsidR="00F73646" w:rsidRPr="00F7364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E6CF5" w14:textId="77777777" w:rsidR="007A4824" w:rsidRDefault="007A4824" w:rsidP="00C20A6A">
      <w:pPr>
        <w:spacing w:line="240" w:lineRule="auto"/>
      </w:pPr>
      <w:r>
        <w:separator/>
      </w:r>
    </w:p>
  </w:endnote>
  <w:endnote w:type="continuationSeparator" w:id="0">
    <w:p w14:paraId="2FB8C139" w14:textId="77777777" w:rsidR="007A4824" w:rsidRDefault="007A482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3D11F" w14:textId="77777777" w:rsidR="007A4824" w:rsidRDefault="007A4824" w:rsidP="00C20A6A">
      <w:pPr>
        <w:spacing w:line="240" w:lineRule="auto"/>
      </w:pPr>
      <w:r>
        <w:separator/>
      </w:r>
    </w:p>
  </w:footnote>
  <w:footnote w:type="continuationSeparator" w:id="0">
    <w:p w14:paraId="13E3DA3C" w14:textId="77777777" w:rsidR="007A4824" w:rsidRDefault="007A482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519A5"/>
    <w:rsid w:val="000B7F93"/>
    <w:rsid w:val="000F4C6A"/>
    <w:rsid w:val="00176A25"/>
    <w:rsid w:val="001C4C6F"/>
    <w:rsid w:val="002050C9"/>
    <w:rsid w:val="003D27E2"/>
    <w:rsid w:val="005F7C76"/>
    <w:rsid w:val="006837CF"/>
    <w:rsid w:val="007A4824"/>
    <w:rsid w:val="007D7BDB"/>
    <w:rsid w:val="008407BB"/>
    <w:rsid w:val="009519A5"/>
    <w:rsid w:val="00A548E7"/>
    <w:rsid w:val="00B15193"/>
    <w:rsid w:val="00B731F1"/>
    <w:rsid w:val="00C20A6A"/>
    <w:rsid w:val="00C22624"/>
    <w:rsid w:val="00D02718"/>
    <w:rsid w:val="00F73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4D4E6"/>
  <w15:chartTrackingRefBased/>
  <w15:docId w15:val="{58A17A0C-F0B9-43AE-990E-C2F3549D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73646"/>
    <w:rPr>
      <w:color w:val="0000FF" w:themeColor="hyperlink"/>
      <w:u w:val="single"/>
    </w:rPr>
  </w:style>
  <w:style w:type="character" w:styleId="a8">
    <w:name w:val="Unresolved Mention"/>
    <w:basedOn w:val="a0"/>
    <w:uiPriority w:val="99"/>
    <w:semiHidden/>
    <w:unhideWhenUsed/>
    <w:rsid w:val="00F73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yzygj/s7655/202011/dca5084ca25b4d1cad51f04f1f2b5a61.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2020-11-19T10:18:00Z</dcterms:created>
  <dcterms:modified xsi:type="dcterms:W3CDTF">2020-11-20T02:59:00Z</dcterms:modified>
</cp:coreProperties>
</file>