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A4CDA" w14:textId="073745CE" w:rsidR="00271E02" w:rsidRPr="00871E4A" w:rsidRDefault="00271E02" w:rsidP="00431375">
      <w:pPr>
        <w:pStyle w:val="AD"/>
        <w:spacing w:line="276" w:lineRule="auto"/>
        <w:jc w:val="center"/>
        <w:rPr>
          <w:b/>
          <w:bCs/>
          <w:color w:val="E36C0A" w:themeColor="accent6" w:themeShade="BF"/>
          <w:sz w:val="32"/>
          <w:szCs w:val="32"/>
        </w:rPr>
      </w:pPr>
      <w:r w:rsidRPr="00871E4A">
        <w:rPr>
          <w:rFonts w:hint="eastAsia"/>
          <w:b/>
          <w:bCs/>
          <w:color w:val="E36C0A" w:themeColor="accent6" w:themeShade="BF"/>
          <w:sz w:val="32"/>
          <w:szCs w:val="32"/>
        </w:rPr>
        <w:t>关于办理侵犯知识产权刑事案件具体应用法律若干问题的解释（三）</w:t>
      </w:r>
    </w:p>
    <w:p w14:paraId="63AC2825" w14:textId="174F2D13" w:rsidR="00871E4A" w:rsidRDefault="00871E4A" w:rsidP="00431375">
      <w:pPr>
        <w:pStyle w:val="AD"/>
        <w:spacing w:line="276" w:lineRule="auto"/>
        <w:jc w:val="center"/>
      </w:pPr>
      <w:r>
        <w:rPr>
          <w:rFonts w:hint="eastAsia"/>
        </w:rPr>
        <w:t>法释〔</w:t>
      </w:r>
      <w:r>
        <w:rPr>
          <w:rFonts w:hint="eastAsia"/>
        </w:rPr>
        <w:t>2020</w:t>
      </w:r>
      <w:r>
        <w:rPr>
          <w:rFonts w:hint="eastAsia"/>
        </w:rPr>
        <w:t>〕</w:t>
      </w:r>
      <w:r>
        <w:rPr>
          <w:rFonts w:hint="eastAsia"/>
        </w:rPr>
        <w:t>10</w:t>
      </w:r>
      <w:r>
        <w:rPr>
          <w:rFonts w:hint="eastAsia"/>
        </w:rPr>
        <w:t>号</w:t>
      </w:r>
    </w:p>
    <w:p w14:paraId="5BF3187E" w14:textId="77777777" w:rsidR="00271E02" w:rsidRDefault="00271E02" w:rsidP="00431375">
      <w:pPr>
        <w:pStyle w:val="AD"/>
        <w:spacing w:line="276" w:lineRule="auto"/>
      </w:pPr>
    </w:p>
    <w:p w14:paraId="17FF76B0" w14:textId="77777777" w:rsidR="00271E02" w:rsidRDefault="00271E02" w:rsidP="00431375">
      <w:pPr>
        <w:pStyle w:val="AD"/>
        <w:spacing w:line="276" w:lineRule="auto"/>
      </w:pPr>
      <w:r>
        <w:rPr>
          <w:rFonts w:hint="eastAsia"/>
        </w:rPr>
        <w:t xml:space="preserve">　　（</w:t>
      </w:r>
      <w:r>
        <w:rPr>
          <w:rFonts w:hint="eastAsia"/>
        </w:rPr>
        <w:t>2020</w:t>
      </w:r>
      <w:r>
        <w:rPr>
          <w:rFonts w:hint="eastAsia"/>
        </w:rPr>
        <w:t>年</w:t>
      </w:r>
      <w:r>
        <w:rPr>
          <w:rFonts w:hint="eastAsia"/>
        </w:rPr>
        <w:t>8</w:t>
      </w:r>
      <w:r>
        <w:rPr>
          <w:rFonts w:hint="eastAsia"/>
        </w:rPr>
        <w:t>月</w:t>
      </w:r>
      <w:r>
        <w:rPr>
          <w:rFonts w:hint="eastAsia"/>
        </w:rPr>
        <w:t>31</w:t>
      </w:r>
      <w:r>
        <w:rPr>
          <w:rFonts w:hint="eastAsia"/>
        </w:rPr>
        <w:t>日最高人民法院审判委员会第</w:t>
      </w:r>
      <w:r>
        <w:rPr>
          <w:rFonts w:hint="eastAsia"/>
        </w:rPr>
        <w:t>1811</w:t>
      </w:r>
      <w:r>
        <w:rPr>
          <w:rFonts w:hint="eastAsia"/>
        </w:rPr>
        <w:t>次会议、</w:t>
      </w:r>
      <w:r>
        <w:rPr>
          <w:rFonts w:hint="eastAsia"/>
        </w:rPr>
        <w:t>2020</w:t>
      </w:r>
      <w:r>
        <w:rPr>
          <w:rFonts w:hint="eastAsia"/>
        </w:rPr>
        <w:t>年</w:t>
      </w:r>
      <w:r>
        <w:rPr>
          <w:rFonts w:hint="eastAsia"/>
        </w:rPr>
        <w:t>8</w:t>
      </w:r>
      <w:r>
        <w:rPr>
          <w:rFonts w:hint="eastAsia"/>
        </w:rPr>
        <w:t>月</w:t>
      </w:r>
      <w:r>
        <w:rPr>
          <w:rFonts w:hint="eastAsia"/>
        </w:rPr>
        <w:t>21</w:t>
      </w:r>
      <w:r>
        <w:rPr>
          <w:rFonts w:hint="eastAsia"/>
        </w:rPr>
        <w:t>日最高人民检察院第十三届检察委员会第四十八次会议通过，自</w:t>
      </w:r>
      <w:r>
        <w:rPr>
          <w:rFonts w:hint="eastAsia"/>
        </w:rPr>
        <w:t>2020</w:t>
      </w:r>
      <w:r>
        <w:rPr>
          <w:rFonts w:hint="eastAsia"/>
        </w:rPr>
        <w:t>年</w:t>
      </w:r>
      <w:r>
        <w:rPr>
          <w:rFonts w:hint="eastAsia"/>
        </w:rPr>
        <w:t>9</w:t>
      </w:r>
      <w:r>
        <w:rPr>
          <w:rFonts w:hint="eastAsia"/>
        </w:rPr>
        <w:t>月</w:t>
      </w:r>
      <w:r>
        <w:rPr>
          <w:rFonts w:hint="eastAsia"/>
        </w:rPr>
        <w:t>14</w:t>
      </w:r>
      <w:r>
        <w:rPr>
          <w:rFonts w:hint="eastAsia"/>
        </w:rPr>
        <w:t>日起施行）</w:t>
      </w:r>
    </w:p>
    <w:p w14:paraId="3E78FA68" w14:textId="77777777" w:rsidR="00271E02" w:rsidRDefault="00271E02" w:rsidP="00431375">
      <w:pPr>
        <w:pStyle w:val="AD"/>
        <w:spacing w:line="276" w:lineRule="auto"/>
      </w:pPr>
    </w:p>
    <w:p w14:paraId="422B31A9" w14:textId="77777777" w:rsidR="00271E02" w:rsidRDefault="00271E02" w:rsidP="00431375">
      <w:pPr>
        <w:pStyle w:val="AD"/>
        <w:spacing w:line="276" w:lineRule="auto"/>
      </w:pPr>
      <w:r>
        <w:rPr>
          <w:rFonts w:hint="eastAsia"/>
        </w:rPr>
        <w:t xml:space="preserve">　　为依法惩治侵犯知识产权犯罪，维护社会主义市场经济秩序，根据《中华人民共和国刑法》《中华人民共和国刑事诉讼法》等有关规定，现就办理侵犯知识产权刑事案件具体应用法律的若干问题解释如下：</w:t>
      </w:r>
    </w:p>
    <w:p w14:paraId="0E1CFDFC" w14:textId="77777777" w:rsidR="00271E02" w:rsidRDefault="00271E02" w:rsidP="00431375">
      <w:pPr>
        <w:pStyle w:val="AD"/>
        <w:spacing w:line="276" w:lineRule="auto"/>
      </w:pPr>
    </w:p>
    <w:p w14:paraId="09485B02" w14:textId="77777777" w:rsidR="00271E02" w:rsidRDefault="00271E02" w:rsidP="00431375">
      <w:pPr>
        <w:pStyle w:val="AD"/>
        <w:spacing w:line="276" w:lineRule="auto"/>
      </w:pPr>
      <w:r>
        <w:rPr>
          <w:rFonts w:hint="eastAsia"/>
        </w:rPr>
        <w:t xml:space="preserve">　　第一条</w:t>
      </w:r>
      <w:r>
        <w:rPr>
          <w:rFonts w:hint="eastAsia"/>
        </w:rPr>
        <w:t xml:space="preserve">  </w:t>
      </w:r>
      <w:r>
        <w:rPr>
          <w:rFonts w:hint="eastAsia"/>
        </w:rPr>
        <w:t>具有下列情形之一的，可以认定为刑法第二百一十三条规定的“与其注册商标相同的商标”：</w:t>
      </w:r>
    </w:p>
    <w:p w14:paraId="37D80084" w14:textId="77777777" w:rsidR="00271E02" w:rsidRDefault="00271E02" w:rsidP="00431375">
      <w:pPr>
        <w:pStyle w:val="AD"/>
        <w:spacing w:line="276" w:lineRule="auto"/>
      </w:pPr>
    </w:p>
    <w:p w14:paraId="7498A8E8" w14:textId="77777777" w:rsidR="00271E02" w:rsidRDefault="00271E02" w:rsidP="00431375">
      <w:pPr>
        <w:pStyle w:val="AD"/>
        <w:spacing w:line="276" w:lineRule="auto"/>
      </w:pPr>
      <w:r>
        <w:rPr>
          <w:rFonts w:hint="eastAsia"/>
        </w:rPr>
        <w:t xml:space="preserve">　　（一）改变注册商标的字体、字母大小写或者文字横竖排列，与注册商标之间基本无差别的；</w:t>
      </w:r>
    </w:p>
    <w:p w14:paraId="1F94CE22" w14:textId="77777777" w:rsidR="00271E02" w:rsidRDefault="00271E02" w:rsidP="00431375">
      <w:pPr>
        <w:pStyle w:val="AD"/>
        <w:spacing w:line="276" w:lineRule="auto"/>
      </w:pPr>
    </w:p>
    <w:p w14:paraId="2AB4BFF3" w14:textId="77777777" w:rsidR="00271E02" w:rsidRDefault="00271E02" w:rsidP="00431375">
      <w:pPr>
        <w:pStyle w:val="AD"/>
        <w:spacing w:line="276" w:lineRule="auto"/>
      </w:pPr>
      <w:r>
        <w:rPr>
          <w:rFonts w:hint="eastAsia"/>
        </w:rPr>
        <w:t xml:space="preserve">　　（二）改变注册商标的文字、字母、数字等之间的间距，与注册商标之间基本无差别的；</w:t>
      </w:r>
    </w:p>
    <w:p w14:paraId="73349FB2" w14:textId="77777777" w:rsidR="00271E02" w:rsidRDefault="00271E02" w:rsidP="00431375">
      <w:pPr>
        <w:pStyle w:val="AD"/>
        <w:spacing w:line="276" w:lineRule="auto"/>
      </w:pPr>
    </w:p>
    <w:p w14:paraId="44DF6860" w14:textId="77777777" w:rsidR="00271E02" w:rsidRDefault="00271E02" w:rsidP="00431375">
      <w:pPr>
        <w:pStyle w:val="AD"/>
        <w:spacing w:line="276" w:lineRule="auto"/>
      </w:pPr>
      <w:r>
        <w:rPr>
          <w:rFonts w:hint="eastAsia"/>
        </w:rPr>
        <w:t xml:space="preserve">　　（三）改变注册商标颜色，不影响体现注册商标显著特征的；</w:t>
      </w:r>
    </w:p>
    <w:p w14:paraId="49B3F654" w14:textId="77777777" w:rsidR="00271E02" w:rsidRDefault="00271E02" w:rsidP="00431375">
      <w:pPr>
        <w:pStyle w:val="AD"/>
        <w:spacing w:line="276" w:lineRule="auto"/>
      </w:pPr>
    </w:p>
    <w:p w14:paraId="17FDCAFC" w14:textId="77777777" w:rsidR="00271E02" w:rsidRDefault="00271E02" w:rsidP="00431375">
      <w:pPr>
        <w:pStyle w:val="AD"/>
        <w:spacing w:line="276" w:lineRule="auto"/>
      </w:pPr>
      <w:r>
        <w:rPr>
          <w:rFonts w:hint="eastAsia"/>
        </w:rPr>
        <w:t xml:space="preserve">　　（四）在注册商标上仅增加商品通用名称、型号等缺乏显著特征要素，不影响体现注册商标显著特征的；</w:t>
      </w:r>
    </w:p>
    <w:p w14:paraId="7E60F08C" w14:textId="77777777" w:rsidR="00271E02" w:rsidRDefault="00271E02" w:rsidP="00431375">
      <w:pPr>
        <w:pStyle w:val="AD"/>
        <w:spacing w:line="276" w:lineRule="auto"/>
      </w:pPr>
    </w:p>
    <w:p w14:paraId="67F9243E" w14:textId="77777777" w:rsidR="00271E02" w:rsidRDefault="00271E02" w:rsidP="00431375">
      <w:pPr>
        <w:pStyle w:val="AD"/>
        <w:spacing w:line="276" w:lineRule="auto"/>
      </w:pPr>
      <w:r>
        <w:rPr>
          <w:rFonts w:hint="eastAsia"/>
        </w:rPr>
        <w:t xml:space="preserve">　　（五）与立体注册商标的三维标志及平面要素基本无差别的；</w:t>
      </w:r>
    </w:p>
    <w:p w14:paraId="5BF04240" w14:textId="77777777" w:rsidR="00271E02" w:rsidRDefault="00271E02" w:rsidP="00431375">
      <w:pPr>
        <w:pStyle w:val="AD"/>
        <w:spacing w:line="276" w:lineRule="auto"/>
      </w:pPr>
    </w:p>
    <w:p w14:paraId="2B2A8863" w14:textId="77777777" w:rsidR="00271E02" w:rsidRDefault="00271E02" w:rsidP="00431375">
      <w:pPr>
        <w:pStyle w:val="AD"/>
        <w:spacing w:line="276" w:lineRule="auto"/>
      </w:pPr>
      <w:r>
        <w:rPr>
          <w:rFonts w:hint="eastAsia"/>
        </w:rPr>
        <w:t xml:space="preserve">　　（六）其他与注册商标基本无差别、足以对公众产生误导的商标。</w:t>
      </w:r>
    </w:p>
    <w:p w14:paraId="19BF1077" w14:textId="77777777" w:rsidR="00271E02" w:rsidRDefault="00271E02" w:rsidP="00431375">
      <w:pPr>
        <w:pStyle w:val="AD"/>
        <w:spacing w:line="276" w:lineRule="auto"/>
      </w:pPr>
    </w:p>
    <w:p w14:paraId="51E7582E" w14:textId="77777777" w:rsidR="00271E02" w:rsidRDefault="00271E02" w:rsidP="00431375">
      <w:pPr>
        <w:pStyle w:val="AD"/>
        <w:spacing w:line="276" w:lineRule="auto"/>
      </w:pPr>
      <w:r>
        <w:rPr>
          <w:rFonts w:hint="eastAsia"/>
        </w:rPr>
        <w:t xml:space="preserve">　　第二条</w:t>
      </w:r>
      <w:r>
        <w:rPr>
          <w:rFonts w:hint="eastAsia"/>
        </w:rPr>
        <w:t xml:space="preserve">  </w:t>
      </w:r>
      <w:r>
        <w:rPr>
          <w:rFonts w:hint="eastAsia"/>
        </w:rPr>
        <w:t>在刑法第二百一十七条规定的作品、录音制品上以通常方式署名的自然人、法人或者非法人组织，应当推定为著作权人或者录音制作者，且该作品、录音制品上存在着相应权利，但有相反证明的除外。</w:t>
      </w:r>
    </w:p>
    <w:p w14:paraId="332ECA55" w14:textId="77777777" w:rsidR="00271E02" w:rsidRDefault="00271E02" w:rsidP="00431375">
      <w:pPr>
        <w:pStyle w:val="AD"/>
        <w:spacing w:line="276" w:lineRule="auto"/>
      </w:pPr>
    </w:p>
    <w:p w14:paraId="2514EEC1" w14:textId="77777777" w:rsidR="00271E02" w:rsidRDefault="00271E02" w:rsidP="00431375">
      <w:pPr>
        <w:pStyle w:val="AD"/>
        <w:spacing w:line="276" w:lineRule="auto"/>
      </w:pPr>
      <w:r>
        <w:rPr>
          <w:rFonts w:hint="eastAsia"/>
        </w:rPr>
        <w:t xml:space="preserve">　　在涉案作品、录音制品种类众多且权利人分散的案件中，有证据证明涉案复制品系非法出版、复制发行，且出版者、复制发行者不能提供获得著作权人、录音制作者许可的相关证据材料的，可以认定为刑法第二百一十七条规定的“未经著作权人许可”“未经录音制作者许可”。但是，有证据证明权利人放弃权利、涉案作品的著作权或者录音制品的有关权利不受我国著作权法保护、权利保护期限已经届满的除外。</w:t>
      </w:r>
    </w:p>
    <w:p w14:paraId="2F182DB8" w14:textId="77777777" w:rsidR="00271E02" w:rsidRDefault="00271E02" w:rsidP="00431375">
      <w:pPr>
        <w:pStyle w:val="AD"/>
        <w:spacing w:line="276" w:lineRule="auto"/>
      </w:pPr>
    </w:p>
    <w:p w14:paraId="4D9EA9E2" w14:textId="77777777" w:rsidR="00271E02" w:rsidRDefault="00271E02" w:rsidP="00431375">
      <w:pPr>
        <w:pStyle w:val="AD"/>
        <w:spacing w:line="276" w:lineRule="auto"/>
      </w:pPr>
      <w:r>
        <w:rPr>
          <w:rFonts w:hint="eastAsia"/>
        </w:rPr>
        <w:lastRenderedPageBreak/>
        <w:t xml:space="preserve">　　第三条</w:t>
      </w:r>
      <w:r>
        <w:rPr>
          <w:rFonts w:hint="eastAsia"/>
        </w:rPr>
        <w:t xml:space="preserve">  </w:t>
      </w:r>
      <w:r>
        <w:rPr>
          <w:rFonts w:hint="eastAsia"/>
        </w:rPr>
        <w:t>采取非法复制、未经授权或者超越授权使用计算机信息系统等方式窃取商业秘密的，应当认定为刑法第二百一十九条第一款第一项规定的“盗窃”。</w:t>
      </w:r>
    </w:p>
    <w:p w14:paraId="5AE82C3A" w14:textId="77777777" w:rsidR="00271E02" w:rsidRDefault="00271E02" w:rsidP="00431375">
      <w:pPr>
        <w:pStyle w:val="AD"/>
        <w:spacing w:line="276" w:lineRule="auto"/>
      </w:pPr>
    </w:p>
    <w:p w14:paraId="17F580D8" w14:textId="77777777" w:rsidR="00271E02" w:rsidRDefault="00271E02" w:rsidP="00431375">
      <w:pPr>
        <w:pStyle w:val="AD"/>
        <w:spacing w:line="276" w:lineRule="auto"/>
      </w:pPr>
      <w:r>
        <w:rPr>
          <w:rFonts w:hint="eastAsia"/>
        </w:rPr>
        <w:t xml:space="preserve">　　以贿赂、欺诈、电子侵入等方式获取权利人的商业秘密的，应当认定为刑法第二百一十九条第一款第一项规定的“其他不正当手段”。</w:t>
      </w:r>
    </w:p>
    <w:p w14:paraId="405C94CB" w14:textId="77777777" w:rsidR="00271E02" w:rsidRDefault="00271E02" w:rsidP="00431375">
      <w:pPr>
        <w:pStyle w:val="AD"/>
        <w:spacing w:line="276" w:lineRule="auto"/>
      </w:pPr>
    </w:p>
    <w:p w14:paraId="3AC4FDAC" w14:textId="77777777" w:rsidR="00271E02" w:rsidRDefault="00271E02" w:rsidP="00431375">
      <w:pPr>
        <w:pStyle w:val="AD"/>
        <w:spacing w:line="276" w:lineRule="auto"/>
      </w:pPr>
      <w:r>
        <w:rPr>
          <w:rFonts w:hint="eastAsia"/>
        </w:rPr>
        <w:t xml:space="preserve">　　第四条</w:t>
      </w:r>
      <w:r>
        <w:rPr>
          <w:rFonts w:hint="eastAsia"/>
        </w:rPr>
        <w:t xml:space="preserve">  </w:t>
      </w:r>
      <w:r>
        <w:rPr>
          <w:rFonts w:hint="eastAsia"/>
        </w:rPr>
        <w:t>实施刑法第二百一十九条规定的行为，具有下列情形之一的，应当认定为“给商业秘密的权利人造成重大损失”：</w:t>
      </w:r>
    </w:p>
    <w:p w14:paraId="324485BA" w14:textId="77777777" w:rsidR="00271E02" w:rsidRDefault="00271E02" w:rsidP="00431375">
      <w:pPr>
        <w:pStyle w:val="AD"/>
        <w:spacing w:line="276" w:lineRule="auto"/>
      </w:pPr>
    </w:p>
    <w:p w14:paraId="09CB0D09" w14:textId="77777777" w:rsidR="00271E02" w:rsidRDefault="00271E02" w:rsidP="00431375">
      <w:pPr>
        <w:pStyle w:val="AD"/>
        <w:spacing w:line="276" w:lineRule="auto"/>
      </w:pPr>
      <w:r>
        <w:rPr>
          <w:rFonts w:hint="eastAsia"/>
        </w:rPr>
        <w:t xml:space="preserve">　　（一）给商业秘密的权利人造成损失数额或者因侵犯商业秘密违法所得数额在三十万元以上的；</w:t>
      </w:r>
    </w:p>
    <w:p w14:paraId="4DBFCB4A" w14:textId="77777777" w:rsidR="00271E02" w:rsidRDefault="00271E02" w:rsidP="00431375">
      <w:pPr>
        <w:pStyle w:val="AD"/>
        <w:spacing w:line="276" w:lineRule="auto"/>
      </w:pPr>
    </w:p>
    <w:p w14:paraId="51E6B87D" w14:textId="77777777" w:rsidR="00271E02" w:rsidRDefault="00271E02" w:rsidP="00431375">
      <w:pPr>
        <w:pStyle w:val="AD"/>
        <w:spacing w:line="276" w:lineRule="auto"/>
      </w:pPr>
      <w:r>
        <w:rPr>
          <w:rFonts w:hint="eastAsia"/>
        </w:rPr>
        <w:t xml:space="preserve">　　（二）直接导致商业秘密的权利人因重大经营困难而破产、倒闭的；</w:t>
      </w:r>
    </w:p>
    <w:p w14:paraId="1B406EC0" w14:textId="77777777" w:rsidR="00271E02" w:rsidRDefault="00271E02" w:rsidP="00431375">
      <w:pPr>
        <w:pStyle w:val="AD"/>
        <w:spacing w:line="276" w:lineRule="auto"/>
      </w:pPr>
    </w:p>
    <w:p w14:paraId="11E57F57" w14:textId="77777777" w:rsidR="00271E02" w:rsidRDefault="00271E02" w:rsidP="00431375">
      <w:pPr>
        <w:pStyle w:val="AD"/>
        <w:spacing w:line="276" w:lineRule="auto"/>
      </w:pPr>
      <w:r>
        <w:rPr>
          <w:rFonts w:hint="eastAsia"/>
        </w:rPr>
        <w:t xml:space="preserve">　　（三）造成商业秘密的权利人其他重大损失的。</w:t>
      </w:r>
    </w:p>
    <w:p w14:paraId="2C52D9F0" w14:textId="77777777" w:rsidR="00271E02" w:rsidRDefault="00271E02" w:rsidP="00431375">
      <w:pPr>
        <w:pStyle w:val="AD"/>
        <w:spacing w:line="276" w:lineRule="auto"/>
      </w:pPr>
    </w:p>
    <w:p w14:paraId="017FA1E9" w14:textId="77777777" w:rsidR="00271E02" w:rsidRDefault="00271E02" w:rsidP="00431375">
      <w:pPr>
        <w:pStyle w:val="AD"/>
        <w:spacing w:line="276" w:lineRule="auto"/>
      </w:pPr>
      <w:r>
        <w:rPr>
          <w:rFonts w:hint="eastAsia"/>
        </w:rPr>
        <w:t xml:space="preserve">　　给商业秘密的权利人造成损失数额或者因侵犯商业秘密违法所得数额在二百五十万元以上的，应当认定为刑法第二百一十九条规定的“造成特别严重后果”。</w:t>
      </w:r>
    </w:p>
    <w:p w14:paraId="18731355" w14:textId="77777777" w:rsidR="00271E02" w:rsidRDefault="00271E02" w:rsidP="00431375">
      <w:pPr>
        <w:pStyle w:val="AD"/>
        <w:spacing w:line="276" w:lineRule="auto"/>
      </w:pPr>
    </w:p>
    <w:p w14:paraId="11B95363" w14:textId="77777777" w:rsidR="00271E02" w:rsidRDefault="00271E02" w:rsidP="00431375">
      <w:pPr>
        <w:pStyle w:val="AD"/>
        <w:spacing w:line="276" w:lineRule="auto"/>
      </w:pPr>
      <w:r>
        <w:rPr>
          <w:rFonts w:hint="eastAsia"/>
        </w:rPr>
        <w:t xml:space="preserve">　　第五条</w:t>
      </w:r>
      <w:r>
        <w:rPr>
          <w:rFonts w:hint="eastAsia"/>
        </w:rPr>
        <w:t xml:space="preserve">  </w:t>
      </w:r>
      <w:r>
        <w:rPr>
          <w:rFonts w:hint="eastAsia"/>
        </w:rPr>
        <w:t>实施刑法第二百一十九条规定的行为造成的损失数额或者违法所得数额，可以按照下列方式认定：</w:t>
      </w:r>
    </w:p>
    <w:p w14:paraId="0DC0C217" w14:textId="77777777" w:rsidR="00271E02" w:rsidRDefault="00271E02" w:rsidP="00431375">
      <w:pPr>
        <w:pStyle w:val="AD"/>
        <w:spacing w:line="276" w:lineRule="auto"/>
      </w:pPr>
    </w:p>
    <w:p w14:paraId="36E2A244" w14:textId="77777777" w:rsidR="00271E02" w:rsidRDefault="00271E02" w:rsidP="00431375">
      <w:pPr>
        <w:pStyle w:val="AD"/>
        <w:spacing w:line="276" w:lineRule="auto"/>
      </w:pPr>
      <w:r>
        <w:rPr>
          <w:rFonts w:hint="eastAsia"/>
        </w:rPr>
        <w:t xml:space="preserve">　　（一）以不正当手段获取权利人的商业秘密，尚未披露、使用或者允许他人使用的，损失数额可以根据该项商业秘密的合理许可使用费确定；</w:t>
      </w:r>
    </w:p>
    <w:p w14:paraId="2F77EBD9" w14:textId="77777777" w:rsidR="00271E02" w:rsidRDefault="00271E02" w:rsidP="00431375">
      <w:pPr>
        <w:pStyle w:val="AD"/>
        <w:spacing w:line="276" w:lineRule="auto"/>
      </w:pPr>
    </w:p>
    <w:p w14:paraId="269FBD99" w14:textId="77777777" w:rsidR="00271E02" w:rsidRDefault="00271E02" w:rsidP="00431375">
      <w:pPr>
        <w:pStyle w:val="AD"/>
        <w:spacing w:line="276" w:lineRule="auto"/>
      </w:pPr>
      <w:r>
        <w:rPr>
          <w:rFonts w:hint="eastAsia"/>
        </w:rPr>
        <w:t xml:space="preserve">　　（二）以不正当手段获取权利人的商业秘密后，披露、使用或者允许他人使用的，损失数额可以根据权利人因被侵权造成销售利润的损失确定，但该损失数额低于商业秘密合理许可使用费的，根据合理许可使用费确定；</w:t>
      </w:r>
    </w:p>
    <w:p w14:paraId="59396149" w14:textId="77777777" w:rsidR="00271E02" w:rsidRDefault="00271E02" w:rsidP="00431375">
      <w:pPr>
        <w:pStyle w:val="AD"/>
        <w:spacing w:line="276" w:lineRule="auto"/>
      </w:pPr>
    </w:p>
    <w:p w14:paraId="09560B09" w14:textId="77777777" w:rsidR="00271E02" w:rsidRDefault="00271E02" w:rsidP="00431375">
      <w:pPr>
        <w:pStyle w:val="AD"/>
        <w:spacing w:line="276" w:lineRule="auto"/>
      </w:pPr>
      <w:r>
        <w:rPr>
          <w:rFonts w:hint="eastAsia"/>
        </w:rPr>
        <w:t xml:space="preserve">　　（三）违反约定、权利人有关保守商业秘密的要求，披露、使用或者允许他人使用其所掌握的商业秘密的，损失数额可以根据权利人因被侵权造成销售利润的损失确定；</w:t>
      </w:r>
    </w:p>
    <w:p w14:paraId="44F1FFC2" w14:textId="77777777" w:rsidR="00271E02" w:rsidRDefault="00271E02" w:rsidP="00431375">
      <w:pPr>
        <w:pStyle w:val="AD"/>
        <w:spacing w:line="276" w:lineRule="auto"/>
      </w:pPr>
    </w:p>
    <w:p w14:paraId="12ED84C1" w14:textId="77777777" w:rsidR="00271E02" w:rsidRDefault="00271E02" w:rsidP="00431375">
      <w:pPr>
        <w:pStyle w:val="AD"/>
        <w:spacing w:line="276" w:lineRule="auto"/>
      </w:pPr>
      <w:r>
        <w:rPr>
          <w:rFonts w:hint="eastAsia"/>
        </w:rPr>
        <w:t xml:space="preserve">　　（四）明知商业秘密是不正当手段获取或者是违反约定、权利人有关保守商业秘密的要求披露、使用、允许使用，仍获取、使用或者披露的，损失数额可以根据权利人因被侵权造成销售利润的损失确定；</w:t>
      </w:r>
    </w:p>
    <w:p w14:paraId="3D0A9A55" w14:textId="77777777" w:rsidR="00271E02" w:rsidRDefault="00271E02" w:rsidP="00431375">
      <w:pPr>
        <w:pStyle w:val="AD"/>
        <w:spacing w:line="276" w:lineRule="auto"/>
      </w:pPr>
    </w:p>
    <w:p w14:paraId="5ACF8DE3" w14:textId="77777777" w:rsidR="00271E02" w:rsidRDefault="00271E02" w:rsidP="00431375">
      <w:pPr>
        <w:pStyle w:val="AD"/>
        <w:spacing w:line="276" w:lineRule="auto"/>
      </w:pPr>
      <w:r>
        <w:rPr>
          <w:rFonts w:hint="eastAsia"/>
        </w:rPr>
        <w:t xml:space="preserve">　　（五）因侵犯商业秘密行为导致商业秘密已为公众所知悉或者灭失的，损失数额可以根据该项商业秘密的商业价值确定。商业秘密的商业价值，可以根据该项商业秘密的研究开发成本、实施该项商业秘密的收益综合确定；</w:t>
      </w:r>
    </w:p>
    <w:p w14:paraId="67832397" w14:textId="77777777" w:rsidR="00271E02" w:rsidRDefault="00271E02" w:rsidP="00431375">
      <w:pPr>
        <w:pStyle w:val="AD"/>
        <w:spacing w:line="276" w:lineRule="auto"/>
      </w:pPr>
    </w:p>
    <w:p w14:paraId="2CF947CD" w14:textId="77777777" w:rsidR="00271E02" w:rsidRDefault="00271E02" w:rsidP="00431375">
      <w:pPr>
        <w:pStyle w:val="AD"/>
        <w:spacing w:line="276" w:lineRule="auto"/>
      </w:pPr>
      <w:r>
        <w:rPr>
          <w:rFonts w:hint="eastAsia"/>
        </w:rPr>
        <w:t xml:space="preserve">　　（六）因披露或者允许他人使用商业秘密而获得的财物或者其他财产性利益，应当认定为违法所得。</w:t>
      </w:r>
    </w:p>
    <w:p w14:paraId="7244452F" w14:textId="77777777" w:rsidR="00271E02" w:rsidRDefault="00271E02" w:rsidP="00431375">
      <w:pPr>
        <w:pStyle w:val="AD"/>
        <w:spacing w:line="276" w:lineRule="auto"/>
      </w:pPr>
    </w:p>
    <w:p w14:paraId="401F0161" w14:textId="77777777" w:rsidR="00271E02" w:rsidRDefault="00271E02" w:rsidP="00431375">
      <w:pPr>
        <w:pStyle w:val="AD"/>
        <w:spacing w:line="276" w:lineRule="auto"/>
      </w:pPr>
      <w:r>
        <w:rPr>
          <w:rFonts w:hint="eastAsia"/>
        </w:rPr>
        <w:t xml:space="preserve">　　前款第二项、第三项、第四项规定的权利人因被侵权造成销售利润的损失，可以根据权利人因被侵权造成销售量减少的总数乘以权利人每件产品的合理利润确定；销售量减少的总数无法确定的，可以根据侵权产品销售量乘以权利人每件产品的合理利润确定；权利人因被侵权造成销售量减少的总数和每件产品的合理利润均无法确定的，可以根据侵权产品销售量乘以每件侵权产品的合理利润确定。商业秘密系用于服务等其他经营活动的，损失数额可以根据权利人因被侵权而减少的合理利润确定。</w:t>
      </w:r>
    </w:p>
    <w:p w14:paraId="0084AFE6" w14:textId="77777777" w:rsidR="00271E02" w:rsidRDefault="00271E02" w:rsidP="00431375">
      <w:pPr>
        <w:pStyle w:val="AD"/>
        <w:spacing w:line="276" w:lineRule="auto"/>
      </w:pPr>
    </w:p>
    <w:p w14:paraId="7D5CACDE" w14:textId="77777777" w:rsidR="00271E02" w:rsidRDefault="00271E02" w:rsidP="00431375">
      <w:pPr>
        <w:pStyle w:val="AD"/>
        <w:spacing w:line="276" w:lineRule="auto"/>
      </w:pPr>
      <w:r>
        <w:rPr>
          <w:rFonts w:hint="eastAsia"/>
        </w:rPr>
        <w:t xml:space="preserve">　　商业秘密的权利人为减轻对商业运营、商业计划的损失或者重新恢复计算机信息系统安全、其他系统安全而支出的补救费用，应当计入给商业秘密的权利人造成的损失。</w:t>
      </w:r>
    </w:p>
    <w:p w14:paraId="6760C831" w14:textId="77777777" w:rsidR="00271E02" w:rsidRDefault="00271E02" w:rsidP="00431375">
      <w:pPr>
        <w:pStyle w:val="AD"/>
        <w:spacing w:line="276" w:lineRule="auto"/>
      </w:pPr>
    </w:p>
    <w:p w14:paraId="06ECFBD0" w14:textId="77777777" w:rsidR="00271E02" w:rsidRDefault="00271E02" w:rsidP="00431375">
      <w:pPr>
        <w:pStyle w:val="AD"/>
        <w:spacing w:line="276" w:lineRule="auto"/>
      </w:pPr>
      <w:r>
        <w:rPr>
          <w:rFonts w:hint="eastAsia"/>
        </w:rPr>
        <w:t xml:space="preserve">　　第六条</w:t>
      </w:r>
      <w:r>
        <w:rPr>
          <w:rFonts w:hint="eastAsia"/>
        </w:rPr>
        <w:t xml:space="preserve">  </w:t>
      </w:r>
      <w:r>
        <w:rPr>
          <w:rFonts w:hint="eastAsia"/>
        </w:rPr>
        <w:t>在刑事诉讼程序中，当事人、辩护人、诉讼代理人或者案外人书面申请对有关商业秘密或者其他需要保密的商业信息的证据、材料采取保密措施的，应当根据案件情况采取组织诉讼参与人签署保密承诺书等必要的保密措施。</w:t>
      </w:r>
    </w:p>
    <w:p w14:paraId="4C84FF47" w14:textId="77777777" w:rsidR="00271E02" w:rsidRDefault="00271E02" w:rsidP="00431375">
      <w:pPr>
        <w:pStyle w:val="AD"/>
        <w:spacing w:line="276" w:lineRule="auto"/>
      </w:pPr>
    </w:p>
    <w:p w14:paraId="254220C9" w14:textId="77777777" w:rsidR="00271E02" w:rsidRDefault="00271E02" w:rsidP="00431375">
      <w:pPr>
        <w:pStyle w:val="AD"/>
        <w:spacing w:line="276" w:lineRule="auto"/>
      </w:pPr>
      <w:r>
        <w:rPr>
          <w:rFonts w:hint="eastAsia"/>
        </w:rPr>
        <w:t xml:space="preserve">　　违反前款有关保密措施的要求或者法律法规规定的保密义务的，依法承担相应责任。擅自披露、使用或者允许他人使用在刑事诉讼程序中接触、获取的商业秘密，符合刑法第二百一十九条规定的，依法追究刑事责任。</w:t>
      </w:r>
    </w:p>
    <w:p w14:paraId="74F07843" w14:textId="77777777" w:rsidR="00271E02" w:rsidRDefault="00271E02" w:rsidP="00431375">
      <w:pPr>
        <w:pStyle w:val="AD"/>
        <w:spacing w:line="276" w:lineRule="auto"/>
      </w:pPr>
    </w:p>
    <w:p w14:paraId="484299DA" w14:textId="77777777" w:rsidR="00271E02" w:rsidRDefault="00271E02" w:rsidP="00431375">
      <w:pPr>
        <w:pStyle w:val="AD"/>
        <w:spacing w:line="276" w:lineRule="auto"/>
      </w:pPr>
      <w:r>
        <w:rPr>
          <w:rFonts w:hint="eastAsia"/>
        </w:rPr>
        <w:t xml:space="preserve">　　第七条</w:t>
      </w:r>
      <w:r>
        <w:rPr>
          <w:rFonts w:hint="eastAsia"/>
        </w:rPr>
        <w:t xml:space="preserve">  </w:t>
      </w:r>
      <w:r>
        <w:rPr>
          <w:rFonts w:hint="eastAsia"/>
        </w:rPr>
        <w:t>除特殊情况外，假冒注册商标的商品、非法制造的注册商标标识、侵犯著作权的复制品、主要用于制造假冒注册商标的商品、注册商标标识或者侵权复制品的材料和工具，应当依法予以没收和销毁。</w:t>
      </w:r>
    </w:p>
    <w:p w14:paraId="3E150F3F" w14:textId="77777777" w:rsidR="00271E02" w:rsidRDefault="00271E02" w:rsidP="00431375">
      <w:pPr>
        <w:pStyle w:val="AD"/>
        <w:spacing w:line="276" w:lineRule="auto"/>
      </w:pPr>
    </w:p>
    <w:p w14:paraId="48F6AF90" w14:textId="77777777" w:rsidR="00271E02" w:rsidRDefault="00271E02" w:rsidP="00431375">
      <w:pPr>
        <w:pStyle w:val="AD"/>
        <w:spacing w:line="276" w:lineRule="auto"/>
      </w:pPr>
      <w:r>
        <w:rPr>
          <w:rFonts w:hint="eastAsia"/>
        </w:rPr>
        <w:t xml:space="preserve">　　上述物品需要作为民事、行政案件的证据使用的，经权利人申请，可以在民事、行政案件终结后或者采取取样、拍照等方式对证据固定后予以销毁。</w:t>
      </w:r>
    </w:p>
    <w:p w14:paraId="3ABA12AF" w14:textId="77777777" w:rsidR="00271E02" w:rsidRDefault="00271E02" w:rsidP="00431375">
      <w:pPr>
        <w:pStyle w:val="AD"/>
        <w:spacing w:line="276" w:lineRule="auto"/>
      </w:pPr>
    </w:p>
    <w:p w14:paraId="0F6BA895" w14:textId="77777777" w:rsidR="00271E02" w:rsidRDefault="00271E02" w:rsidP="00431375">
      <w:pPr>
        <w:pStyle w:val="AD"/>
        <w:spacing w:line="276" w:lineRule="auto"/>
      </w:pPr>
      <w:r>
        <w:rPr>
          <w:rFonts w:hint="eastAsia"/>
        </w:rPr>
        <w:t xml:space="preserve">　　第八条</w:t>
      </w:r>
      <w:r>
        <w:rPr>
          <w:rFonts w:hint="eastAsia"/>
        </w:rPr>
        <w:t xml:space="preserve">  </w:t>
      </w:r>
      <w:r>
        <w:rPr>
          <w:rFonts w:hint="eastAsia"/>
        </w:rPr>
        <w:t>具有下列情形之一的，可以酌情从重处罚，一般不适用缓刑：</w:t>
      </w:r>
    </w:p>
    <w:p w14:paraId="302F09E9" w14:textId="77777777" w:rsidR="00271E02" w:rsidRDefault="00271E02" w:rsidP="00431375">
      <w:pPr>
        <w:pStyle w:val="AD"/>
        <w:spacing w:line="276" w:lineRule="auto"/>
      </w:pPr>
    </w:p>
    <w:p w14:paraId="179C08D0" w14:textId="77777777" w:rsidR="00271E02" w:rsidRDefault="00271E02" w:rsidP="00431375">
      <w:pPr>
        <w:pStyle w:val="AD"/>
        <w:spacing w:line="276" w:lineRule="auto"/>
      </w:pPr>
      <w:r>
        <w:rPr>
          <w:rFonts w:hint="eastAsia"/>
        </w:rPr>
        <w:t xml:space="preserve">　　（一）主要以侵犯知识产权为业的；</w:t>
      </w:r>
    </w:p>
    <w:p w14:paraId="580ACCE2" w14:textId="77777777" w:rsidR="00271E02" w:rsidRDefault="00271E02" w:rsidP="00431375">
      <w:pPr>
        <w:pStyle w:val="AD"/>
        <w:spacing w:line="276" w:lineRule="auto"/>
      </w:pPr>
    </w:p>
    <w:p w14:paraId="3162D238" w14:textId="77777777" w:rsidR="00271E02" w:rsidRDefault="00271E02" w:rsidP="00431375">
      <w:pPr>
        <w:pStyle w:val="AD"/>
        <w:spacing w:line="276" w:lineRule="auto"/>
      </w:pPr>
      <w:r>
        <w:rPr>
          <w:rFonts w:hint="eastAsia"/>
        </w:rPr>
        <w:t xml:space="preserve">　　（二）因侵犯知识产权被行政处罚后再次侵犯知识产权构成犯罪的；</w:t>
      </w:r>
    </w:p>
    <w:p w14:paraId="37277933" w14:textId="77777777" w:rsidR="00271E02" w:rsidRDefault="00271E02" w:rsidP="00431375">
      <w:pPr>
        <w:pStyle w:val="AD"/>
        <w:spacing w:line="276" w:lineRule="auto"/>
      </w:pPr>
    </w:p>
    <w:p w14:paraId="00615E9E" w14:textId="77777777" w:rsidR="00271E02" w:rsidRDefault="00271E02" w:rsidP="00431375">
      <w:pPr>
        <w:pStyle w:val="AD"/>
        <w:spacing w:line="276" w:lineRule="auto"/>
      </w:pPr>
      <w:r>
        <w:rPr>
          <w:rFonts w:hint="eastAsia"/>
        </w:rPr>
        <w:t xml:space="preserve">　　（三）在重大自然灾害、事故灾难、公共卫生事件期间</w:t>
      </w:r>
      <w:r>
        <w:rPr>
          <w:rFonts w:hint="eastAsia"/>
        </w:rPr>
        <w:t>,</w:t>
      </w:r>
      <w:r>
        <w:rPr>
          <w:rFonts w:hint="eastAsia"/>
        </w:rPr>
        <w:t>假冒抢险救灾、防疫物资等商品的注册商标的；</w:t>
      </w:r>
    </w:p>
    <w:p w14:paraId="327772A5" w14:textId="77777777" w:rsidR="00271E02" w:rsidRDefault="00271E02" w:rsidP="00431375">
      <w:pPr>
        <w:pStyle w:val="AD"/>
        <w:spacing w:line="276" w:lineRule="auto"/>
      </w:pPr>
    </w:p>
    <w:p w14:paraId="2B75F3F8" w14:textId="77777777" w:rsidR="00271E02" w:rsidRDefault="00271E02" w:rsidP="00431375">
      <w:pPr>
        <w:pStyle w:val="AD"/>
        <w:spacing w:line="276" w:lineRule="auto"/>
      </w:pPr>
      <w:r>
        <w:rPr>
          <w:rFonts w:hint="eastAsia"/>
        </w:rPr>
        <w:t xml:space="preserve">　　（四）拒不交出违法所得的。</w:t>
      </w:r>
    </w:p>
    <w:p w14:paraId="671D32A7" w14:textId="77777777" w:rsidR="00271E02" w:rsidRDefault="00271E02" w:rsidP="00431375">
      <w:pPr>
        <w:pStyle w:val="AD"/>
        <w:spacing w:line="276" w:lineRule="auto"/>
      </w:pPr>
    </w:p>
    <w:p w14:paraId="662D2E65" w14:textId="77777777" w:rsidR="00271E02" w:rsidRDefault="00271E02" w:rsidP="00431375">
      <w:pPr>
        <w:pStyle w:val="AD"/>
        <w:spacing w:line="276" w:lineRule="auto"/>
      </w:pPr>
      <w:r>
        <w:rPr>
          <w:rFonts w:hint="eastAsia"/>
        </w:rPr>
        <w:t xml:space="preserve">　　第九条</w:t>
      </w:r>
      <w:r>
        <w:rPr>
          <w:rFonts w:hint="eastAsia"/>
        </w:rPr>
        <w:t xml:space="preserve">  </w:t>
      </w:r>
      <w:r>
        <w:rPr>
          <w:rFonts w:hint="eastAsia"/>
        </w:rPr>
        <w:t>具有下列情形之一的，可以酌情从轻处罚：</w:t>
      </w:r>
    </w:p>
    <w:p w14:paraId="6E59D0F3" w14:textId="77777777" w:rsidR="00271E02" w:rsidRDefault="00271E02" w:rsidP="00431375">
      <w:pPr>
        <w:pStyle w:val="AD"/>
        <w:spacing w:line="276" w:lineRule="auto"/>
      </w:pPr>
    </w:p>
    <w:p w14:paraId="06B1E893" w14:textId="77777777" w:rsidR="00271E02" w:rsidRDefault="00271E02" w:rsidP="00431375">
      <w:pPr>
        <w:pStyle w:val="AD"/>
        <w:spacing w:line="276" w:lineRule="auto"/>
      </w:pPr>
      <w:r>
        <w:rPr>
          <w:rFonts w:hint="eastAsia"/>
        </w:rPr>
        <w:t xml:space="preserve">　　（一）认罪认罚的；</w:t>
      </w:r>
    </w:p>
    <w:p w14:paraId="72341143" w14:textId="77777777" w:rsidR="00271E02" w:rsidRDefault="00271E02" w:rsidP="00431375">
      <w:pPr>
        <w:pStyle w:val="AD"/>
        <w:spacing w:line="276" w:lineRule="auto"/>
      </w:pPr>
    </w:p>
    <w:p w14:paraId="52872A94" w14:textId="77777777" w:rsidR="00271E02" w:rsidRDefault="00271E02" w:rsidP="00431375">
      <w:pPr>
        <w:pStyle w:val="AD"/>
        <w:spacing w:line="276" w:lineRule="auto"/>
      </w:pPr>
      <w:r>
        <w:rPr>
          <w:rFonts w:hint="eastAsia"/>
        </w:rPr>
        <w:t xml:space="preserve">　　（二）取得权利人谅解的；</w:t>
      </w:r>
    </w:p>
    <w:p w14:paraId="267957B1" w14:textId="77777777" w:rsidR="00271E02" w:rsidRDefault="00271E02" w:rsidP="00431375">
      <w:pPr>
        <w:pStyle w:val="AD"/>
        <w:spacing w:line="276" w:lineRule="auto"/>
      </w:pPr>
    </w:p>
    <w:p w14:paraId="1825F8AC" w14:textId="77777777" w:rsidR="00271E02" w:rsidRDefault="00271E02" w:rsidP="00431375">
      <w:pPr>
        <w:pStyle w:val="AD"/>
        <w:spacing w:line="276" w:lineRule="auto"/>
      </w:pPr>
      <w:r>
        <w:rPr>
          <w:rFonts w:hint="eastAsia"/>
        </w:rPr>
        <w:t xml:space="preserve">　　（三）具有悔罪表现的；</w:t>
      </w:r>
    </w:p>
    <w:p w14:paraId="03C18A06" w14:textId="77777777" w:rsidR="00271E02" w:rsidRDefault="00271E02" w:rsidP="00431375">
      <w:pPr>
        <w:pStyle w:val="AD"/>
        <w:spacing w:line="276" w:lineRule="auto"/>
      </w:pPr>
    </w:p>
    <w:p w14:paraId="32D8A9C0" w14:textId="77777777" w:rsidR="00271E02" w:rsidRDefault="00271E02" w:rsidP="00431375">
      <w:pPr>
        <w:pStyle w:val="AD"/>
        <w:spacing w:line="276" w:lineRule="auto"/>
      </w:pPr>
      <w:r>
        <w:rPr>
          <w:rFonts w:hint="eastAsia"/>
        </w:rPr>
        <w:t xml:space="preserve">　　（四）以不正当手段获取权利人的商业秘密后尚未披露、使用或者允许他人使用的。</w:t>
      </w:r>
    </w:p>
    <w:p w14:paraId="3CF4EC9D" w14:textId="77777777" w:rsidR="00271E02" w:rsidRDefault="00271E02" w:rsidP="00431375">
      <w:pPr>
        <w:pStyle w:val="AD"/>
        <w:spacing w:line="276" w:lineRule="auto"/>
      </w:pPr>
    </w:p>
    <w:p w14:paraId="1B260FEA" w14:textId="77777777" w:rsidR="00271E02" w:rsidRDefault="00271E02" w:rsidP="00431375">
      <w:pPr>
        <w:pStyle w:val="AD"/>
        <w:spacing w:line="276" w:lineRule="auto"/>
      </w:pPr>
      <w:r>
        <w:rPr>
          <w:rFonts w:hint="eastAsia"/>
        </w:rPr>
        <w:t xml:space="preserve">　　第十条</w:t>
      </w:r>
      <w:r>
        <w:rPr>
          <w:rFonts w:hint="eastAsia"/>
        </w:rPr>
        <w:t xml:space="preserve">  </w:t>
      </w:r>
      <w:r>
        <w:rPr>
          <w:rFonts w:hint="eastAsia"/>
        </w:rPr>
        <w:t>对于侵犯知识产权犯罪的，应当综合考虑犯罪违法所得数额、非法经营数额、</w:t>
      </w:r>
      <w:proofErr w:type="gramStart"/>
      <w:r>
        <w:rPr>
          <w:rFonts w:hint="eastAsia"/>
        </w:rPr>
        <w:t>给权利</w:t>
      </w:r>
      <w:proofErr w:type="gramEnd"/>
      <w:r>
        <w:rPr>
          <w:rFonts w:hint="eastAsia"/>
        </w:rPr>
        <w:t>人造成的损失数额、侵权假冒物品数量及社会危害性等情节，依法判处罚金。</w:t>
      </w:r>
    </w:p>
    <w:p w14:paraId="1E3D456C" w14:textId="77777777" w:rsidR="00271E02" w:rsidRDefault="00271E02" w:rsidP="00431375">
      <w:pPr>
        <w:pStyle w:val="AD"/>
        <w:spacing w:line="276" w:lineRule="auto"/>
      </w:pPr>
    </w:p>
    <w:p w14:paraId="2F9D09AA" w14:textId="77777777" w:rsidR="00271E02" w:rsidRDefault="00271E02" w:rsidP="00431375">
      <w:pPr>
        <w:pStyle w:val="AD"/>
        <w:spacing w:line="276" w:lineRule="auto"/>
      </w:pPr>
      <w:r>
        <w:rPr>
          <w:rFonts w:hint="eastAsia"/>
        </w:rPr>
        <w:t xml:space="preserve">　　罚金数额一般在违法所得数额的一倍以上五倍以下确定。违法所得数额无法查清的，罚金数额一般按照非法经营数额的百分之五十以上一倍以下确定。违法所得数额和非法经营数额均无法查清，判处三年以下有期徒刑、拘役、管制或者单处罚金的，一般在三万元以上一百万元以下确定罚金数额；判处三年以上有期徒刑的，一般在十五万元以上五百万元以下确定罚金数额。</w:t>
      </w:r>
    </w:p>
    <w:p w14:paraId="368898E6" w14:textId="77777777" w:rsidR="00271E02" w:rsidRDefault="00271E02" w:rsidP="00431375">
      <w:pPr>
        <w:pStyle w:val="AD"/>
        <w:spacing w:line="276" w:lineRule="auto"/>
      </w:pPr>
    </w:p>
    <w:p w14:paraId="315E76BD" w14:textId="77777777" w:rsidR="00271E02" w:rsidRDefault="00271E02" w:rsidP="00431375">
      <w:pPr>
        <w:pStyle w:val="AD"/>
        <w:spacing w:line="276" w:lineRule="auto"/>
      </w:pPr>
      <w:r>
        <w:rPr>
          <w:rFonts w:hint="eastAsia"/>
        </w:rPr>
        <w:t xml:space="preserve">　　第十一条</w:t>
      </w:r>
      <w:r>
        <w:rPr>
          <w:rFonts w:hint="eastAsia"/>
        </w:rPr>
        <w:t xml:space="preserve">  </w:t>
      </w:r>
      <w:r>
        <w:rPr>
          <w:rFonts w:hint="eastAsia"/>
        </w:rPr>
        <w:t>本解释发布施行后，之前发布的司法解释和规范性文件与本解释不一致的，以本解释为准。</w:t>
      </w:r>
    </w:p>
    <w:p w14:paraId="0FFDF992" w14:textId="77777777" w:rsidR="00271E02" w:rsidRDefault="00271E02" w:rsidP="00431375">
      <w:pPr>
        <w:pStyle w:val="AD"/>
        <w:spacing w:line="276" w:lineRule="auto"/>
      </w:pPr>
    </w:p>
    <w:p w14:paraId="69C23993" w14:textId="5C78A246" w:rsidR="00B15193" w:rsidRDefault="00271E02" w:rsidP="00431375">
      <w:pPr>
        <w:pStyle w:val="AD"/>
        <w:spacing w:line="276" w:lineRule="auto"/>
      </w:pPr>
      <w:r>
        <w:rPr>
          <w:rFonts w:hint="eastAsia"/>
        </w:rPr>
        <w:t xml:space="preserve">　　第十二条</w:t>
      </w:r>
      <w:r>
        <w:rPr>
          <w:rFonts w:hint="eastAsia"/>
        </w:rPr>
        <w:t xml:space="preserve">  </w:t>
      </w:r>
      <w:r>
        <w:rPr>
          <w:rFonts w:hint="eastAsia"/>
        </w:rPr>
        <w:t>本</w:t>
      </w:r>
      <w:proofErr w:type="gramStart"/>
      <w:r>
        <w:rPr>
          <w:rFonts w:hint="eastAsia"/>
        </w:rPr>
        <w:t>解释自</w:t>
      </w:r>
      <w:proofErr w:type="gramEnd"/>
      <w:r>
        <w:rPr>
          <w:rFonts w:hint="eastAsia"/>
        </w:rPr>
        <w:t>2020</w:t>
      </w:r>
      <w:r>
        <w:rPr>
          <w:rFonts w:hint="eastAsia"/>
        </w:rPr>
        <w:t>年</w:t>
      </w:r>
      <w:r>
        <w:rPr>
          <w:rFonts w:hint="eastAsia"/>
        </w:rPr>
        <w:t>9</w:t>
      </w:r>
      <w:r>
        <w:rPr>
          <w:rFonts w:hint="eastAsia"/>
        </w:rPr>
        <w:t>月</w:t>
      </w:r>
      <w:r>
        <w:rPr>
          <w:rFonts w:hint="eastAsia"/>
        </w:rPr>
        <w:t>14</w:t>
      </w:r>
      <w:r>
        <w:rPr>
          <w:rFonts w:hint="eastAsia"/>
        </w:rPr>
        <w:t>日起施行。</w:t>
      </w:r>
    </w:p>
    <w:p w14:paraId="1AF63FF5" w14:textId="74005C63" w:rsidR="00271E02" w:rsidRDefault="00271E02" w:rsidP="00431375">
      <w:pPr>
        <w:pStyle w:val="AD"/>
        <w:spacing w:line="276" w:lineRule="auto"/>
      </w:pPr>
    </w:p>
    <w:p w14:paraId="4CE53F9E" w14:textId="11C681C5" w:rsidR="00271E02" w:rsidRDefault="00271E02" w:rsidP="00431375">
      <w:pPr>
        <w:pStyle w:val="AD"/>
        <w:spacing w:line="276" w:lineRule="auto"/>
      </w:pPr>
    </w:p>
    <w:p w14:paraId="076D0F3A" w14:textId="7AC84935" w:rsidR="00271E02" w:rsidRDefault="00271E02" w:rsidP="00431375">
      <w:pPr>
        <w:pStyle w:val="AD"/>
        <w:spacing w:line="276" w:lineRule="auto"/>
      </w:pPr>
      <w:r>
        <w:rPr>
          <w:rFonts w:hint="eastAsia"/>
        </w:rPr>
        <w:t>信息来源：</w:t>
      </w:r>
      <w:hyperlink r:id="rId6" w:history="1">
        <w:r w:rsidR="00871E4A" w:rsidRPr="007842A5">
          <w:rPr>
            <w:rStyle w:val="a7"/>
          </w:rPr>
          <w:t>http://www.court.gov.cn/zixun-xiangqing-254891.html</w:t>
        </w:r>
      </w:hyperlink>
    </w:p>
    <w:p w14:paraId="1893859C" w14:textId="77777777" w:rsidR="00871E4A" w:rsidRPr="00871E4A" w:rsidRDefault="00871E4A" w:rsidP="00431375">
      <w:pPr>
        <w:pStyle w:val="AD"/>
        <w:spacing w:line="276" w:lineRule="auto"/>
      </w:pPr>
    </w:p>
    <w:sectPr w:rsidR="00871E4A" w:rsidRPr="00871E4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F9541" w14:textId="77777777" w:rsidR="00302C74" w:rsidRDefault="00302C74" w:rsidP="00C20A6A">
      <w:pPr>
        <w:spacing w:line="240" w:lineRule="auto"/>
      </w:pPr>
      <w:r>
        <w:separator/>
      </w:r>
    </w:p>
  </w:endnote>
  <w:endnote w:type="continuationSeparator" w:id="0">
    <w:p w14:paraId="2195D1C3" w14:textId="77777777" w:rsidR="00302C74" w:rsidRDefault="00302C74"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B5411" w14:textId="77777777" w:rsidR="00302C74" w:rsidRDefault="00302C74" w:rsidP="00C20A6A">
      <w:pPr>
        <w:spacing w:line="240" w:lineRule="auto"/>
      </w:pPr>
      <w:r>
        <w:separator/>
      </w:r>
    </w:p>
  </w:footnote>
  <w:footnote w:type="continuationSeparator" w:id="0">
    <w:p w14:paraId="1F9A0FBB" w14:textId="77777777" w:rsidR="00302C74" w:rsidRDefault="00302C74"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5313F"/>
    <w:rsid w:val="000F4C6A"/>
    <w:rsid w:val="00176A25"/>
    <w:rsid w:val="001C4C6F"/>
    <w:rsid w:val="0025313F"/>
    <w:rsid w:val="00271E02"/>
    <w:rsid w:val="00302C74"/>
    <w:rsid w:val="003D27E2"/>
    <w:rsid w:val="00431375"/>
    <w:rsid w:val="005E1FF8"/>
    <w:rsid w:val="005F7C76"/>
    <w:rsid w:val="007D7BDB"/>
    <w:rsid w:val="00871E4A"/>
    <w:rsid w:val="00A548E7"/>
    <w:rsid w:val="00B15193"/>
    <w:rsid w:val="00B731F1"/>
    <w:rsid w:val="00C20A6A"/>
    <w:rsid w:val="00C22624"/>
    <w:rsid w:val="00D02718"/>
    <w:rsid w:val="00D5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1D015"/>
  <w15:chartTrackingRefBased/>
  <w15:docId w15:val="{F1194A53-9596-4924-A13D-60460CFB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871E4A"/>
    <w:rPr>
      <w:color w:val="0000FF" w:themeColor="hyperlink"/>
      <w:u w:val="single"/>
    </w:rPr>
  </w:style>
  <w:style w:type="character" w:styleId="a8">
    <w:name w:val="Unresolved Mention"/>
    <w:basedOn w:val="a0"/>
    <w:uiPriority w:val="99"/>
    <w:semiHidden/>
    <w:unhideWhenUsed/>
    <w:rsid w:val="0087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zixun-xiangqing-25489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5</cp:revision>
  <dcterms:created xsi:type="dcterms:W3CDTF">2020-09-17T06:38:00Z</dcterms:created>
  <dcterms:modified xsi:type="dcterms:W3CDTF">2020-09-17T09:27:00Z</dcterms:modified>
</cp:coreProperties>
</file>