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B9398" w14:textId="77777777" w:rsidR="00E14855" w:rsidRPr="008B07AC" w:rsidRDefault="00E14855" w:rsidP="008B07A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B07AC">
        <w:rPr>
          <w:rFonts w:hint="eastAsia"/>
          <w:b/>
          <w:bCs/>
          <w:color w:val="E36C0A" w:themeColor="accent6" w:themeShade="BF"/>
          <w:sz w:val="32"/>
          <w:szCs w:val="32"/>
        </w:rPr>
        <w:t>关于统一法律</w:t>
      </w:r>
      <w:proofErr w:type="gramStart"/>
      <w:r w:rsidRPr="008B07AC">
        <w:rPr>
          <w:rFonts w:hint="eastAsia"/>
          <w:b/>
          <w:bCs/>
          <w:color w:val="E36C0A" w:themeColor="accent6" w:themeShade="BF"/>
          <w:sz w:val="32"/>
          <w:szCs w:val="32"/>
        </w:rPr>
        <w:t>适用加强类案</w:t>
      </w:r>
      <w:proofErr w:type="gramEnd"/>
      <w:r w:rsidRPr="008B07AC">
        <w:rPr>
          <w:rFonts w:hint="eastAsia"/>
          <w:b/>
          <w:bCs/>
          <w:color w:val="E36C0A" w:themeColor="accent6" w:themeShade="BF"/>
          <w:sz w:val="32"/>
          <w:szCs w:val="32"/>
        </w:rPr>
        <w:t>检索的指导意见（试行）</w:t>
      </w:r>
    </w:p>
    <w:p w14:paraId="25C1B5D1" w14:textId="77777777" w:rsidR="008B07AC" w:rsidRDefault="008B07AC" w:rsidP="008B07AC">
      <w:pPr>
        <w:pStyle w:val="AD"/>
        <w:spacing w:line="276" w:lineRule="auto"/>
      </w:pPr>
    </w:p>
    <w:p w14:paraId="6FBBB087" w14:textId="4D2E7B99" w:rsidR="00E14855" w:rsidRDefault="0039017E" w:rsidP="008B07AC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E14855">
        <w:rPr>
          <w:rFonts w:hint="eastAsia"/>
        </w:rPr>
        <w:t>为统一法律适用，提升司法公信力，结合审判工作实际，就</w:t>
      </w:r>
      <w:proofErr w:type="gramStart"/>
      <w:r w:rsidR="00E14855">
        <w:rPr>
          <w:rFonts w:hint="eastAsia"/>
        </w:rPr>
        <w:t>人民法院类案检索</w:t>
      </w:r>
      <w:proofErr w:type="gramEnd"/>
      <w:r w:rsidR="00E14855">
        <w:rPr>
          <w:rFonts w:hint="eastAsia"/>
        </w:rPr>
        <w:t>工作提出如下意见。</w:t>
      </w:r>
    </w:p>
    <w:p w14:paraId="0E701572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一、本意见所称类案，是指与待决案件在基本事实、争议焦点、法律适用问题等方面具有相似性，且已经人民法院裁判生效的案件。</w:t>
      </w:r>
    </w:p>
    <w:p w14:paraId="7CF36730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二、人民法院办理案件具有下列情形之一，应当</w:t>
      </w:r>
      <w:proofErr w:type="gramStart"/>
      <w:r>
        <w:rPr>
          <w:rFonts w:hint="eastAsia"/>
        </w:rPr>
        <w:t>进行类案检索</w:t>
      </w:r>
      <w:proofErr w:type="gramEnd"/>
      <w:r>
        <w:rPr>
          <w:rFonts w:hint="eastAsia"/>
        </w:rPr>
        <w:t>：</w:t>
      </w:r>
    </w:p>
    <w:p w14:paraId="20CAA628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（一）拟提交专业（主审）法官会议或者审判委员会讨论的；</w:t>
      </w:r>
    </w:p>
    <w:p w14:paraId="195520FA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（二）缺乏明确裁判规则或者尚未形成统一裁判规则的；</w:t>
      </w:r>
    </w:p>
    <w:p w14:paraId="71DEE57E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（三）院长、庭长根据审判监督管理权限要求</w:t>
      </w:r>
      <w:proofErr w:type="gramStart"/>
      <w:r>
        <w:rPr>
          <w:rFonts w:hint="eastAsia"/>
        </w:rPr>
        <w:t>进行类案检索</w:t>
      </w:r>
      <w:proofErr w:type="gramEnd"/>
      <w:r>
        <w:rPr>
          <w:rFonts w:hint="eastAsia"/>
        </w:rPr>
        <w:t>的；</w:t>
      </w:r>
    </w:p>
    <w:p w14:paraId="0F170857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（四）其他需要</w:t>
      </w:r>
      <w:proofErr w:type="gramStart"/>
      <w:r>
        <w:rPr>
          <w:rFonts w:hint="eastAsia"/>
        </w:rPr>
        <w:t>进行类案检索</w:t>
      </w:r>
      <w:proofErr w:type="gramEnd"/>
      <w:r>
        <w:rPr>
          <w:rFonts w:hint="eastAsia"/>
        </w:rPr>
        <w:t>的。</w:t>
      </w:r>
    </w:p>
    <w:p w14:paraId="01A7A4EF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三、承办法官依托中国裁判文书网、审判案例数据库等</w:t>
      </w:r>
      <w:proofErr w:type="gramStart"/>
      <w:r>
        <w:rPr>
          <w:rFonts w:hint="eastAsia"/>
        </w:rPr>
        <w:t>进行类案检索</w:t>
      </w:r>
      <w:proofErr w:type="gramEnd"/>
      <w:r>
        <w:rPr>
          <w:rFonts w:hint="eastAsia"/>
        </w:rPr>
        <w:t>，并对检索的真实性、准确性负责。</w:t>
      </w:r>
    </w:p>
    <w:p w14:paraId="176F2890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四、</w:t>
      </w:r>
      <w:proofErr w:type="gramStart"/>
      <w:r>
        <w:rPr>
          <w:rFonts w:hint="eastAsia"/>
        </w:rPr>
        <w:t>类案检索</w:t>
      </w:r>
      <w:proofErr w:type="gramEnd"/>
      <w:r>
        <w:rPr>
          <w:rFonts w:hint="eastAsia"/>
        </w:rPr>
        <w:t>范围一般包括：</w:t>
      </w:r>
    </w:p>
    <w:p w14:paraId="1E73D796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（一）最高人民法院发布的指导性案例；</w:t>
      </w:r>
    </w:p>
    <w:p w14:paraId="5D22481B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（二）最高人民法院发布的典型案例及裁判生效的案件；</w:t>
      </w:r>
    </w:p>
    <w:p w14:paraId="07351542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（三）本省（自治区、直辖市）高级人民法院发布的参考性案例及裁判生效的案件；</w:t>
      </w:r>
    </w:p>
    <w:p w14:paraId="1A7D2DE4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（四）上一级人民法院及本院裁判生效的案件。</w:t>
      </w:r>
    </w:p>
    <w:p w14:paraId="4F563E0C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除指导性案例以外，优先</w:t>
      </w:r>
      <w:proofErr w:type="gramStart"/>
      <w:r>
        <w:rPr>
          <w:rFonts w:hint="eastAsia"/>
        </w:rPr>
        <w:t>检索近</w:t>
      </w:r>
      <w:proofErr w:type="gramEnd"/>
      <w:r>
        <w:rPr>
          <w:rFonts w:hint="eastAsia"/>
        </w:rPr>
        <w:t>三年的案例或者案件；已经在前一顺位中检索</w:t>
      </w:r>
      <w:proofErr w:type="gramStart"/>
      <w:r>
        <w:rPr>
          <w:rFonts w:hint="eastAsia"/>
        </w:rPr>
        <w:t>到类案</w:t>
      </w:r>
      <w:proofErr w:type="gramEnd"/>
      <w:r>
        <w:rPr>
          <w:rFonts w:hint="eastAsia"/>
        </w:rPr>
        <w:t>的，可以不再进行检索。</w:t>
      </w:r>
    </w:p>
    <w:p w14:paraId="3A97315E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五、</w:t>
      </w:r>
      <w:proofErr w:type="gramStart"/>
      <w:r>
        <w:rPr>
          <w:rFonts w:hint="eastAsia"/>
        </w:rPr>
        <w:t>类案检索</w:t>
      </w:r>
      <w:proofErr w:type="gramEnd"/>
      <w:r>
        <w:rPr>
          <w:rFonts w:hint="eastAsia"/>
        </w:rPr>
        <w:t>可以采用关键词检索、法条关联案件检索、案例关联检索等方法。</w:t>
      </w:r>
    </w:p>
    <w:p w14:paraId="554DC946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六、承办法官应当将待决案件与检索结果进行相似性识别和比对，确定是否属于类案。</w:t>
      </w:r>
    </w:p>
    <w:p w14:paraId="242F7260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七、对本意</w:t>
      </w:r>
      <w:proofErr w:type="gramStart"/>
      <w:r>
        <w:rPr>
          <w:rFonts w:hint="eastAsia"/>
        </w:rPr>
        <w:t>见规定</w:t>
      </w:r>
      <w:proofErr w:type="gramEnd"/>
      <w:r>
        <w:rPr>
          <w:rFonts w:hint="eastAsia"/>
        </w:rPr>
        <w:t>的应当</w:t>
      </w:r>
      <w:proofErr w:type="gramStart"/>
      <w:r>
        <w:rPr>
          <w:rFonts w:hint="eastAsia"/>
        </w:rPr>
        <w:t>进行类案检索</w:t>
      </w:r>
      <w:proofErr w:type="gramEnd"/>
      <w:r>
        <w:rPr>
          <w:rFonts w:hint="eastAsia"/>
        </w:rPr>
        <w:t>的案件，承办法官应当在合议庭评议、专业（主审）法官会议讨论及审理报告中</w:t>
      </w:r>
      <w:proofErr w:type="gramStart"/>
      <w:r>
        <w:rPr>
          <w:rFonts w:hint="eastAsia"/>
        </w:rPr>
        <w:t>对类案检索</w:t>
      </w:r>
      <w:proofErr w:type="gramEnd"/>
      <w:r>
        <w:rPr>
          <w:rFonts w:hint="eastAsia"/>
        </w:rPr>
        <w:t>情况予以说明，或者制作专门</w:t>
      </w:r>
      <w:proofErr w:type="gramStart"/>
      <w:r>
        <w:rPr>
          <w:rFonts w:hint="eastAsia"/>
        </w:rPr>
        <w:t>的类案检索</w:t>
      </w:r>
      <w:proofErr w:type="gramEnd"/>
      <w:r>
        <w:rPr>
          <w:rFonts w:hint="eastAsia"/>
        </w:rPr>
        <w:t>报告，并随案归档备查。</w:t>
      </w:r>
    </w:p>
    <w:p w14:paraId="4B438E96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八、</w:t>
      </w:r>
      <w:proofErr w:type="gramStart"/>
      <w:r>
        <w:rPr>
          <w:rFonts w:hint="eastAsia"/>
        </w:rPr>
        <w:t>类案检索</w:t>
      </w:r>
      <w:proofErr w:type="gramEnd"/>
      <w:r>
        <w:rPr>
          <w:rFonts w:hint="eastAsia"/>
        </w:rPr>
        <w:t>说明或者报告应当客观、全面、准确，包括检索主体、时间、平台、方法、结果，</w:t>
      </w:r>
      <w:proofErr w:type="gramStart"/>
      <w:r>
        <w:rPr>
          <w:rFonts w:hint="eastAsia"/>
        </w:rPr>
        <w:t>类案裁判</w:t>
      </w:r>
      <w:proofErr w:type="gramEnd"/>
      <w:r>
        <w:rPr>
          <w:rFonts w:hint="eastAsia"/>
        </w:rPr>
        <w:t>要点以及待决案件争议焦点等内容，并对是否参照或者</w:t>
      </w:r>
      <w:proofErr w:type="gramStart"/>
      <w:r>
        <w:rPr>
          <w:rFonts w:hint="eastAsia"/>
        </w:rPr>
        <w:t>参考类案等</w:t>
      </w:r>
      <w:proofErr w:type="gramEnd"/>
      <w:r>
        <w:rPr>
          <w:rFonts w:hint="eastAsia"/>
        </w:rPr>
        <w:t>结果运用情况予以分析说明。</w:t>
      </w:r>
    </w:p>
    <w:p w14:paraId="79C1F5CB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九、检索到</w:t>
      </w:r>
      <w:proofErr w:type="gramStart"/>
      <w:r>
        <w:rPr>
          <w:rFonts w:hint="eastAsia"/>
        </w:rPr>
        <w:t>的类案为</w:t>
      </w:r>
      <w:proofErr w:type="gramEnd"/>
      <w:r>
        <w:rPr>
          <w:rFonts w:hint="eastAsia"/>
        </w:rPr>
        <w:t>指导性案例的，人民法院应当参照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裁判，但与新的法律、行政法规、司法解释相冲突或者为新的指导性案例所取代的除外。</w:t>
      </w:r>
    </w:p>
    <w:p w14:paraId="20FF5CC4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检索到</w:t>
      </w:r>
      <w:proofErr w:type="gramStart"/>
      <w:r>
        <w:rPr>
          <w:rFonts w:hint="eastAsia"/>
        </w:rPr>
        <w:t>其他类案的</w:t>
      </w:r>
      <w:proofErr w:type="gramEnd"/>
      <w:r>
        <w:rPr>
          <w:rFonts w:hint="eastAsia"/>
        </w:rPr>
        <w:t>，人民法院可以作为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裁判的参考。</w:t>
      </w:r>
    </w:p>
    <w:p w14:paraId="7F9693F4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十、公诉机关、案件当事人及其辩护人、诉讼代理人等提交指导性案例作为控（诉）</w:t>
      </w:r>
      <w:proofErr w:type="gramStart"/>
      <w:r>
        <w:rPr>
          <w:rFonts w:hint="eastAsia"/>
        </w:rPr>
        <w:t>辩理由</w:t>
      </w:r>
      <w:proofErr w:type="gramEnd"/>
      <w:r>
        <w:rPr>
          <w:rFonts w:hint="eastAsia"/>
        </w:rPr>
        <w:t>的，人民法院应当在裁判文书说理中回应是否参照并说明理由；提交</w:t>
      </w:r>
      <w:proofErr w:type="gramStart"/>
      <w:r>
        <w:rPr>
          <w:rFonts w:hint="eastAsia"/>
        </w:rPr>
        <w:t>其他类案作为</w:t>
      </w:r>
      <w:proofErr w:type="gramEnd"/>
      <w:r>
        <w:rPr>
          <w:rFonts w:hint="eastAsia"/>
        </w:rPr>
        <w:t>控（诉）</w:t>
      </w:r>
      <w:proofErr w:type="gramStart"/>
      <w:r>
        <w:rPr>
          <w:rFonts w:hint="eastAsia"/>
        </w:rPr>
        <w:t>辩理由</w:t>
      </w:r>
      <w:proofErr w:type="gramEnd"/>
      <w:r>
        <w:rPr>
          <w:rFonts w:hint="eastAsia"/>
        </w:rPr>
        <w:t>的，人民法院可以通过释明等方式予以回应。</w:t>
      </w:r>
    </w:p>
    <w:p w14:paraId="4EB70627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十一、检索到</w:t>
      </w:r>
      <w:proofErr w:type="gramStart"/>
      <w:r>
        <w:rPr>
          <w:rFonts w:hint="eastAsia"/>
        </w:rPr>
        <w:t>的类案存在</w:t>
      </w:r>
      <w:proofErr w:type="gramEnd"/>
      <w:r>
        <w:rPr>
          <w:rFonts w:hint="eastAsia"/>
        </w:rPr>
        <w:t>法律适用不一致的，人民法院可以综合法院层级、裁判时间、是否经审判委员会讨论等因素，依照《最高人民法院关于建立法律适用分歧解决机制的实施办法》等规定，通过法律适用分歧解决机制予以解决。</w:t>
      </w:r>
    </w:p>
    <w:p w14:paraId="5E73F296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十二、各级人民法院应当积极</w:t>
      </w:r>
      <w:proofErr w:type="gramStart"/>
      <w:r>
        <w:rPr>
          <w:rFonts w:hint="eastAsia"/>
        </w:rPr>
        <w:t>推进类案检索</w:t>
      </w:r>
      <w:proofErr w:type="gramEnd"/>
      <w:r>
        <w:rPr>
          <w:rFonts w:hint="eastAsia"/>
        </w:rPr>
        <w:t>工作，加强技术研发和应用培训，</w:t>
      </w:r>
      <w:proofErr w:type="gramStart"/>
      <w:r>
        <w:rPr>
          <w:rFonts w:hint="eastAsia"/>
        </w:rPr>
        <w:t>提升类案推送</w:t>
      </w:r>
      <w:proofErr w:type="gramEnd"/>
      <w:r>
        <w:rPr>
          <w:rFonts w:hint="eastAsia"/>
        </w:rPr>
        <w:t>的智能化、精准化水平。</w:t>
      </w:r>
    </w:p>
    <w:p w14:paraId="212E5E54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lastRenderedPageBreak/>
        <w:t xml:space="preserve">　　各高级人民法院应当充分运用现代信息技术，建立审判案例数据库，为全国统一、权威的审判案例数据库建设奠定坚实基础。</w:t>
      </w:r>
    </w:p>
    <w:p w14:paraId="0AE57D55" w14:textId="77777777" w:rsidR="00E14855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十三、各级人民法院应当定期归纳</w:t>
      </w:r>
      <w:proofErr w:type="gramStart"/>
      <w:r>
        <w:rPr>
          <w:rFonts w:hint="eastAsia"/>
        </w:rPr>
        <w:t>整理类案检索</w:t>
      </w:r>
      <w:proofErr w:type="gramEnd"/>
      <w:r>
        <w:rPr>
          <w:rFonts w:hint="eastAsia"/>
        </w:rPr>
        <w:t>情况，通过一定形式在本院或者辖区法院公开，供法官办案参考，并报上一级人民法院审判管理部门备案。</w:t>
      </w:r>
    </w:p>
    <w:p w14:paraId="69064299" w14:textId="4D909FA7" w:rsidR="00B15193" w:rsidRDefault="00E14855" w:rsidP="008B07AC">
      <w:pPr>
        <w:pStyle w:val="AD"/>
        <w:spacing w:line="276" w:lineRule="auto"/>
      </w:pPr>
      <w:r>
        <w:rPr>
          <w:rFonts w:hint="eastAsia"/>
        </w:rPr>
        <w:t xml:space="preserve">　　十四、</w:t>
      </w:r>
      <w:proofErr w:type="gramStart"/>
      <w:r>
        <w:rPr>
          <w:rFonts w:hint="eastAsia"/>
        </w:rPr>
        <w:t>本意见自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日起</w:t>
      </w:r>
      <w:proofErr w:type="gramEnd"/>
      <w:r>
        <w:rPr>
          <w:rFonts w:hint="eastAsia"/>
        </w:rPr>
        <w:t>试行。</w:t>
      </w:r>
    </w:p>
    <w:p w14:paraId="4049AEE5" w14:textId="65C7703D" w:rsidR="00E14855" w:rsidRDefault="00E14855" w:rsidP="008B07AC">
      <w:pPr>
        <w:pStyle w:val="AD"/>
        <w:spacing w:line="276" w:lineRule="auto"/>
      </w:pPr>
    </w:p>
    <w:p w14:paraId="2F29C754" w14:textId="70D09BF5" w:rsidR="00E14855" w:rsidRDefault="00E14855" w:rsidP="008B07AC">
      <w:pPr>
        <w:pStyle w:val="AD"/>
        <w:spacing w:line="276" w:lineRule="auto"/>
      </w:pPr>
    </w:p>
    <w:p w14:paraId="0DFBF9EC" w14:textId="0B486F28" w:rsidR="00E14855" w:rsidRDefault="00E14855" w:rsidP="008B07AC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http://www.court.gov.cn/fabu-xiangqing-243981.html</w:t>
        </w:r>
      </w:hyperlink>
    </w:p>
    <w:p w14:paraId="74DD0B73" w14:textId="77777777" w:rsidR="0039017E" w:rsidRDefault="0039017E" w:rsidP="008B07AC">
      <w:pPr>
        <w:pStyle w:val="AD"/>
        <w:spacing w:line="276" w:lineRule="auto"/>
      </w:pPr>
    </w:p>
    <w:sectPr w:rsidR="0039017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8710" w14:textId="77777777" w:rsidR="005D347C" w:rsidRDefault="005D347C" w:rsidP="00C20A6A">
      <w:pPr>
        <w:spacing w:line="240" w:lineRule="auto"/>
      </w:pPr>
      <w:r>
        <w:separator/>
      </w:r>
    </w:p>
  </w:endnote>
  <w:endnote w:type="continuationSeparator" w:id="0">
    <w:p w14:paraId="02B8E4EF" w14:textId="77777777" w:rsidR="005D347C" w:rsidRDefault="005D347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5776" w14:textId="77777777" w:rsidR="005D347C" w:rsidRDefault="005D347C" w:rsidP="00C20A6A">
      <w:pPr>
        <w:spacing w:line="240" w:lineRule="auto"/>
      </w:pPr>
      <w:r>
        <w:separator/>
      </w:r>
    </w:p>
  </w:footnote>
  <w:footnote w:type="continuationSeparator" w:id="0">
    <w:p w14:paraId="0EA825C2" w14:textId="77777777" w:rsidR="005D347C" w:rsidRDefault="005D347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1EFB"/>
    <w:rsid w:val="00051EFB"/>
    <w:rsid w:val="000F4C6A"/>
    <w:rsid w:val="00176A25"/>
    <w:rsid w:val="001C4C6F"/>
    <w:rsid w:val="0039017E"/>
    <w:rsid w:val="003D27E2"/>
    <w:rsid w:val="005D347C"/>
    <w:rsid w:val="005F7C76"/>
    <w:rsid w:val="007D7BDB"/>
    <w:rsid w:val="008B07AC"/>
    <w:rsid w:val="00A548E7"/>
    <w:rsid w:val="00B15193"/>
    <w:rsid w:val="00B731F1"/>
    <w:rsid w:val="00C20A6A"/>
    <w:rsid w:val="00C22624"/>
    <w:rsid w:val="00CC78F4"/>
    <w:rsid w:val="00D02718"/>
    <w:rsid w:val="00E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FA1D7"/>
  <w15:chartTrackingRefBased/>
  <w15:docId w15:val="{973DAD50-0985-44E1-91D2-1A8DD35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1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4398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2020-07-30T06:38:00Z</dcterms:created>
  <dcterms:modified xsi:type="dcterms:W3CDTF">2020-07-30T10:50:00Z</dcterms:modified>
</cp:coreProperties>
</file>