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EA85F6" w14:textId="77777777" w:rsidR="0085088F" w:rsidRPr="0085088F" w:rsidRDefault="0085088F" w:rsidP="0085088F">
      <w:pPr>
        <w:pStyle w:val="AD"/>
        <w:spacing w:line="276" w:lineRule="auto"/>
        <w:jc w:val="center"/>
        <w:rPr>
          <w:b/>
          <w:bCs/>
          <w:color w:val="E36C0A" w:themeColor="accent6" w:themeShade="BF"/>
          <w:sz w:val="32"/>
          <w:szCs w:val="32"/>
        </w:rPr>
      </w:pPr>
      <w:r w:rsidRPr="0085088F">
        <w:rPr>
          <w:rFonts w:hint="eastAsia"/>
          <w:b/>
          <w:bCs/>
          <w:color w:val="E36C0A" w:themeColor="accent6" w:themeShade="BF"/>
          <w:sz w:val="32"/>
          <w:szCs w:val="32"/>
        </w:rPr>
        <w:t>标准化债权类资产认定规则</w:t>
      </w:r>
    </w:p>
    <w:p w14:paraId="7878C4D0" w14:textId="77777777" w:rsidR="00090AD5" w:rsidRPr="0085088F" w:rsidRDefault="00090AD5" w:rsidP="0085088F">
      <w:pPr>
        <w:pStyle w:val="AD"/>
        <w:spacing w:line="276" w:lineRule="auto"/>
      </w:pPr>
    </w:p>
    <w:p w14:paraId="4C2366BC" w14:textId="77777777" w:rsidR="00090AD5" w:rsidRDefault="00090AD5" w:rsidP="0085088F">
      <w:pPr>
        <w:pStyle w:val="AD"/>
        <w:spacing w:line="276" w:lineRule="auto"/>
      </w:pPr>
      <w:r>
        <w:rPr>
          <w:rFonts w:hint="eastAsia"/>
        </w:rPr>
        <w:t>根据《中国人民银行</w:t>
      </w:r>
      <w:r>
        <w:rPr>
          <w:rFonts w:hint="eastAsia"/>
        </w:rPr>
        <w:t xml:space="preserve"> </w:t>
      </w:r>
      <w:r>
        <w:rPr>
          <w:rFonts w:hint="eastAsia"/>
        </w:rPr>
        <w:t>中国银行保险监督管理委员会</w:t>
      </w:r>
      <w:r>
        <w:rPr>
          <w:rFonts w:hint="eastAsia"/>
        </w:rPr>
        <w:t xml:space="preserve"> </w:t>
      </w:r>
      <w:r>
        <w:rPr>
          <w:rFonts w:hint="eastAsia"/>
        </w:rPr>
        <w:t>中国证券监督管理委员会</w:t>
      </w:r>
      <w:r>
        <w:rPr>
          <w:rFonts w:hint="eastAsia"/>
        </w:rPr>
        <w:t xml:space="preserve"> </w:t>
      </w:r>
      <w:r>
        <w:rPr>
          <w:rFonts w:hint="eastAsia"/>
        </w:rPr>
        <w:t>国家外汇管理局关于规范金融机构资产管理业务的指导意见》要求，中国人民银行、中国银行保险监督管理委员会、中国证券监督管理委员会、国家外汇管理局制定了《标准化债权类资产认定规则》，现予发布，自</w:t>
      </w:r>
      <w:r>
        <w:rPr>
          <w:rFonts w:hint="eastAsia"/>
        </w:rPr>
        <w:t>2020</w:t>
      </w:r>
      <w:r>
        <w:rPr>
          <w:rFonts w:hint="eastAsia"/>
        </w:rPr>
        <w:t>年</w:t>
      </w:r>
      <w:r>
        <w:rPr>
          <w:rFonts w:hint="eastAsia"/>
        </w:rPr>
        <w:t>8</w:t>
      </w:r>
      <w:r>
        <w:rPr>
          <w:rFonts w:hint="eastAsia"/>
        </w:rPr>
        <w:t>月</w:t>
      </w:r>
      <w:r>
        <w:rPr>
          <w:rFonts w:hint="eastAsia"/>
        </w:rPr>
        <w:t>3</w:t>
      </w:r>
      <w:r>
        <w:rPr>
          <w:rFonts w:hint="eastAsia"/>
        </w:rPr>
        <w:t>日起施行。</w:t>
      </w:r>
    </w:p>
    <w:p w14:paraId="052907DA" w14:textId="77777777" w:rsidR="00090AD5" w:rsidRDefault="00090AD5" w:rsidP="0085088F">
      <w:pPr>
        <w:pStyle w:val="AD"/>
        <w:spacing w:line="276" w:lineRule="auto"/>
      </w:pPr>
    </w:p>
    <w:p w14:paraId="7CCDDBC1" w14:textId="7D11D515" w:rsidR="00090AD5" w:rsidRDefault="00090AD5" w:rsidP="0085088F">
      <w:pPr>
        <w:pStyle w:val="AD"/>
        <w:spacing w:line="276" w:lineRule="auto"/>
        <w:jc w:val="right"/>
      </w:pPr>
      <w:r>
        <w:rPr>
          <w:rFonts w:hint="eastAsia"/>
        </w:rPr>
        <w:t>中国人民银行</w:t>
      </w:r>
    </w:p>
    <w:p w14:paraId="0E16567C" w14:textId="30288C74" w:rsidR="00090AD5" w:rsidRDefault="00090AD5" w:rsidP="0085088F">
      <w:pPr>
        <w:pStyle w:val="AD"/>
        <w:spacing w:line="276" w:lineRule="auto"/>
        <w:jc w:val="right"/>
      </w:pPr>
      <w:r>
        <w:rPr>
          <w:rFonts w:hint="eastAsia"/>
        </w:rPr>
        <w:t>银保监会</w:t>
      </w:r>
    </w:p>
    <w:p w14:paraId="54129EE0" w14:textId="1EA10181" w:rsidR="00090AD5" w:rsidRDefault="00090AD5" w:rsidP="0085088F">
      <w:pPr>
        <w:pStyle w:val="AD"/>
        <w:spacing w:line="276" w:lineRule="auto"/>
        <w:jc w:val="right"/>
      </w:pPr>
      <w:r>
        <w:rPr>
          <w:rFonts w:hint="eastAsia"/>
        </w:rPr>
        <w:t>证</w:t>
      </w:r>
      <w:r>
        <w:rPr>
          <w:rFonts w:hint="eastAsia"/>
        </w:rPr>
        <w:t xml:space="preserve"> </w:t>
      </w:r>
      <w:r>
        <w:rPr>
          <w:rFonts w:hint="eastAsia"/>
        </w:rPr>
        <w:t>监</w:t>
      </w:r>
      <w:r>
        <w:rPr>
          <w:rFonts w:hint="eastAsia"/>
        </w:rPr>
        <w:t xml:space="preserve"> </w:t>
      </w:r>
      <w:r>
        <w:rPr>
          <w:rFonts w:hint="eastAsia"/>
        </w:rPr>
        <w:t>会</w:t>
      </w:r>
    </w:p>
    <w:p w14:paraId="01F6EE1B" w14:textId="21C370A8" w:rsidR="00090AD5" w:rsidRDefault="00090AD5" w:rsidP="0085088F">
      <w:pPr>
        <w:pStyle w:val="AD"/>
        <w:spacing w:line="276" w:lineRule="auto"/>
        <w:jc w:val="right"/>
      </w:pPr>
      <w:r>
        <w:rPr>
          <w:rFonts w:hint="eastAsia"/>
        </w:rPr>
        <w:t>外</w:t>
      </w:r>
      <w:r>
        <w:rPr>
          <w:rFonts w:hint="eastAsia"/>
        </w:rPr>
        <w:t xml:space="preserve"> </w:t>
      </w:r>
      <w:r>
        <w:rPr>
          <w:rFonts w:hint="eastAsia"/>
        </w:rPr>
        <w:t>汇</w:t>
      </w:r>
      <w:r>
        <w:rPr>
          <w:rFonts w:hint="eastAsia"/>
        </w:rPr>
        <w:t xml:space="preserve"> </w:t>
      </w:r>
      <w:r>
        <w:rPr>
          <w:rFonts w:hint="eastAsia"/>
        </w:rPr>
        <w:t>局</w:t>
      </w:r>
    </w:p>
    <w:p w14:paraId="79193A60" w14:textId="77777777" w:rsidR="00090AD5" w:rsidRDefault="00090AD5" w:rsidP="0085088F">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3</w:t>
      </w:r>
      <w:r>
        <w:rPr>
          <w:rFonts w:hint="eastAsia"/>
        </w:rPr>
        <w:t>日</w:t>
      </w:r>
    </w:p>
    <w:p w14:paraId="72B0AC6F" w14:textId="77777777" w:rsidR="0045286A" w:rsidRDefault="0045286A" w:rsidP="0085088F">
      <w:pPr>
        <w:pStyle w:val="AD"/>
        <w:spacing w:line="276" w:lineRule="auto"/>
        <w:rPr>
          <w:rFonts w:hint="eastAsia"/>
        </w:rPr>
      </w:pPr>
    </w:p>
    <w:p w14:paraId="02AF9BB4" w14:textId="77777777" w:rsidR="00090AD5" w:rsidRDefault="00090AD5" w:rsidP="0085088F">
      <w:pPr>
        <w:pStyle w:val="AD"/>
        <w:spacing w:line="276" w:lineRule="auto"/>
      </w:pPr>
      <w:r>
        <w:rPr>
          <w:rFonts w:hint="eastAsia"/>
        </w:rPr>
        <w:t>为规范金融机构资产管理产品投资，强化投资者保护，促进直接融资健康发展，有效防控金融风险，根据《中国人民银行</w:t>
      </w:r>
      <w:r>
        <w:rPr>
          <w:rFonts w:hint="eastAsia"/>
        </w:rPr>
        <w:t xml:space="preserve"> </w:t>
      </w:r>
      <w:r>
        <w:rPr>
          <w:rFonts w:hint="eastAsia"/>
        </w:rPr>
        <w:t>中国银行保险监督管理委员会</w:t>
      </w:r>
      <w:r>
        <w:rPr>
          <w:rFonts w:hint="eastAsia"/>
        </w:rPr>
        <w:t xml:space="preserve"> </w:t>
      </w:r>
      <w:r>
        <w:rPr>
          <w:rFonts w:hint="eastAsia"/>
        </w:rPr>
        <w:t>中国证券监督管理委员会</w:t>
      </w:r>
      <w:r>
        <w:rPr>
          <w:rFonts w:hint="eastAsia"/>
        </w:rPr>
        <w:t xml:space="preserve"> </w:t>
      </w:r>
      <w:r>
        <w:rPr>
          <w:rFonts w:hint="eastAsia"/>
        </w:rPr>
        <w:t>国家外汇管理局关于规范金融机构资产管理业务的指导意见》要求，现就标准化债权类资产的认定制定本规则：</w:t>
      </w:r>
    </w:p>
    <w:p w14:paraId="25F4EC6F" w14:textId="77777777" w:rsidR="00090AD5" w:rsidRDefault="00090AD5" w:rsidP="0085088F">
      <w:pPr>
        <w:pStyle w:val="AD"/>
        <w:spacing w:line="276" w:lineRule="auto"/>
      </w:pPr>
    </w:p>
    <w:p w14:paraId="401F1FF7" w14:textId="77777777" w:rsidR="00090AD5" w:rsidRDefault="00090AD5" w:rsidP="0085088F">
      <w:pPr>
        <w:pStyle w:val="AD"/>
        <w:spacing w:line="276" w:lineRule="auto"/>
      </w:pPr>
      <w:r>
        <w:rPr>
          <w:rFonts w:hint="eastAsia"/>
        </w:rPr>
        <w:t>一、本规则所称的标准化债权类资产是指依法发行的债券、资产支持证券等固定收益证券，主要包括国债、中央银行票据、地方政府债券、政府支持机构债券、金融债券、非金融企业债务融资工具、公司债券、企业债券、国际机构债券、同业存单、信贷资产支持证券、资产支持票据、证券交易所挂牌交易的资产支持证券，以及固定收益类公开募集证券投资基金等。</w:t>
      </w:r>
    </w:p>
    <w:p w14:paraId="051A15B5" w14:textId="77777777" w:rsidR="00090AD5" w:rsidRDefault="00090AD5" w:rsidP="0085088F">
      <w:pPr>
        <w:pStyle w:val="AD"/>
        <w:spacing w:line="276" w:lineRule="auto"/>
      </w:pPr>
    </w:p>
    <w:p w14:paraId="54BF8576" w14:textId="77777777" w:rsidR="00090AD5" w:rsidRDefault="00090AD5" w:rsidP="0085088F">
      <w:pPr>
        <w:pStyle w:val="AD"/>
        <w:spacing w:line="276" w:lineRule="auto"/>
      </w:pPr>
      <w:r>
        <w:rPr>
          <w:rFonts w:hint="eastAsia"/>
        </w:rPr>
        <w:t>二、其他债权类资产被认定为标准化债权类资产的，应当同时符合以下条件：</w:t>
      </w:r>
    </w:p>
    <w:p w14:paraId="526FEF5C" w14:textId="77777777" w:rsidR="00090AD5" w:rsidRDefault="00090AD5" w:rsidP="0085088F">
      <w:pPr>
        <w:pStyle w:val="AD"/>
        <w:spacing w:line="276" w:lineRule="auto"/>
      </w:pPr>
    </w:p>
    <w:p w14:paraId="2B3E810D" w14:textId="77777777" w:rsidR="00090AD5" w:rsidRDefault="00090AD5" w:rsidP="0085088F">
      <w:pPr>
        <w:pStyle w:val="AD"/>
        <w:spacing w:line="276" w:lineRule="auto"/>
      </w:pPr>
      <w:r>
        <w:rPr>
          <w:rFonts w:hint="eastAsia"/>
        </w:rPr>
        <w:t>（一）等分化，可交易。以簿记建档或招标方式非公开发行，发行与存续期间有</w:t>
      </w:r>
      <w:r>
        <w:rPr>
          <w:rFonts w:hint="eastAsia"/>
        </w:rPr>
        <w:t>2</w:t>
      </w:r>
      <w:r>
        <w:rPr>
          <w:rFonts w:hint="eastAsia"/>
        </w:rPr>
        <w:t>个（含）以上合格投资者，以票面金额或其整数</w:t>
      </w:r>
      <w:proofErr w:type="gramStart"/>
      <w:r>
        <w:rPr>
          <w:rFonts w:hint="eastAsia"/>
        </w:rPr>
        <w:t>倍</w:t>
      </w:r>
      <w:proofErr w:type="gramEnd"/>
      <w:r>
        <w:rPr>
          <w:rFonts w:hint="eastAsia"/>
        </w:rPr>
        <w:t>作为最小交易单位，具有标准化的交易合同文本。</w:t>
      </w:r>
    </w:p>
    <w:p w14:paraId="17E9A764" w14:textId="77777777" w:rsidR="00090AD5" w:rsidRDefault="00090AD5" w:rsidP="0085088F">
      <w:pPr>
        <w:pStyle w:val="AD"/>
        <w:spacing w:line="276" w:lineRule="auto"/>
      </w:pPr>
    </w:p>
    <w:p w14:paraId="79C76EBB" w14:textId="77777777" w:rsidR="00090AD5" w:rsidRDefault="00090AD5" w:rsidP="0085088F">
      <w:pPr>
        <w:pStyle w:val="AD"/>
        <w:spacing w:line="276" w:lineRule="auto"/>
      </w:pPr>
      <w:r>
        <w:rPr>
          <w:rFonts w:hint="eastAsia"/>
        </w:rPr>
        <w:t>（二）信息披露充分。发行文件对信息披露方式、内容、频率等具体安排有明确约定，信息披露责任主体确保信息披露真实、准确、完整、及时。</w:t>
      </w:r>
    </w:p>
    <w:p w14:paraId="72F0001B" w14:textId="77777777" w:rsidR="00090AD5" w:rsidRDefault="00090AD5" w:rsidP="0085088F">
      <w:pPr>
        <w:pStyle w:val="AD"/>
        <w:spacing w:line="276" w:lineRule="auto"/>
      </w:pPr>
    </w:p>
    <w:p w14:paraId="7C40F587" w14:textId="77777777" w:rsidR="00090AD5" w:rsidRDefault="00090AD5" w:rsidP="0085088F">
      <w:pPr>
        <w:pStyle w:val="AD"/>
        <w:spacing w:line="276" w:lineRule="auto"/>
      </w:pPr>
      <w:r>
        <w:rPr>
          <w:rFonts w:hint="eastAsia"/>
        </w:rPr>
        <w:t>发行文件中明确发行人有义务通过提供现金或金融工具等偿付投资者，或明确以破产隔离的基础资产所产生的现金流偿付投资者，并至少包含发行金额、票面金额、发行价格或利率确定方式、期限、发行方式、承销方式等要素。</w:t>
      </w:r>
    </w:p>
    <w:p w14:paraId="631847A2" w14:textId="77777777" w:rsidR="00090AD5" w:rsidRDefault="00090AD5" w:rsidP="0085088F">
      <w:pPr>
        <w:pStyle w:val="AD"/>
        <w:spacing w:line="276" w:lineRule="auto"/>
      </w:pPr>
    </w:p>
    <w:p w14:paraId="3580FAFA" w14:textId="77777777" w:rsidR="00090AD5" w:rsidRDefault="00090AD5" w:rsidP="0085088F">
      <w:pPr>
        <w:pStyle w:val="AD"/>
        <w:spacing w:line="276" w:lineRule="auto"/>
      </w:pPr>
      <w:r>
        <w:rPr>
          <w:rFonts w:hint="eastAsia"/>
        </w:rPr>
        <w:t>（三）集中登记，独立托管。在人民银行和金融监督管理部门认可的债券市场登记托管机构集中登记、独立托管。</w:t>
      </w:r>
    </w:p>
    <w:p w14:paraId="30291C97" w14:textId="77777777" w:rsidR="00090AD5" w:rsidRDefault="00090AD5" w:rsidP="0085088F">
      <w:pPr>
        <w:pStyle w:val="AD"/>
        <w:spacing w:line="276" w:lineRule="auto"/>
      </w:pPr>
    </w:p>
    <w:p w14:paraId="343AA98B" w14:textId="77777777" w:rsidR="00090AD5" w:rsidRDefault="00090AD5" w:rsidP="0085088F">
      <w:pPr>
        <w:pStyle w:val="AD"/>
        <w:spacing w:line="276" w:lineRule="auto"/>
      </w:pPr>
      <w:r>
        <w:rPr>
          <w:rFonts w:hint="eastAsia"/>
        </w:rPr>
        <w:t>（四）公允定价，流动性机制完善。采用询价、双边报价、竞价撮合等交易方式，有做市机构、</w:t>
      </w:r>
      <w:r>
        <w:rPr>
          <w:rFonts w:hint="eastAsia"/>
        </w:rPr>
        <w:lastRenderedPageBreak/>
        <w:t>承销商等积极提供做市、估值等服务。买卖双方优先依据近期成交价格或做市机构、承销商报价确定交易价格。若该资产</w:t>
      </w:r>
      <w:proofErr w:type="gramStart"/>
      <w:r>
        <w:rPr>
          <w:rFonts w:hint="eastAsia"/>
        </w:rPr>
        <w:t>无近期</w:t>
      </w:r>
      <w:proofErr w:type="gramEnd"/>
      <w:r>
        <w:rPr>
          <w:rFonts w:hint="eastAsia"/>
        </w:rPr>
        <w:t>成交价格或报价，可参考</w:t>
      </w:r>
      <w:proofErr w:type="gramStart"/>
      <w:r>
        <w:rPr>
          <w:rFonts w:hint="eastAsia"/>
        </w:rPr>
        <w:t>其他第三</w:t>
      </w:r>
      <w:proofErr w:type="gramEnd"/>
      <w:r>
        <w:rPr>
          <w:rFonts w:hint="eastAsia"/>
        </w:rPr>
        <w:t>方估值。提供估值服务的</w:t>
      </w:r>
      <w:proofErr w:type="gramStart"/>
      <w:r>
        <w:rPr>
          <w:rFonts w:hint="eastAsia"/>
        </w:rPr>
        <w:t>其他第三</w:t>
      </w:r>
      <w:proofErr w:type="gramEnd"/>
      <w:r>
        <w:rPr>
          <w:rFonts w:hint="eastAsia"/>
        </w:rPr>
        <w:t>方估值机构具备完善的公司治理结构，能够有效处理利益冲突，同时通过合理的质量控制手段确保估值质量，并公开估值方法、估值流程，确保估值透明。</w:t>
      </w:r>
    </w:p>
    <w:p w14:paraId="4987076C" w14:textId="77777777" w:rsidR="00090AD5" w:rsidRDefault="00090AD5" w:rsidP="0085088F">
      <w:pPr>
        <w:pStyle w:val="AD"/>
        <w:spacing w:line="276" w:lineRule="auto"/>
      </w:pPr>
    </w:p>
    <w:p w14:paraId="5C34907A" w14:textId="77777777" w:rsidR="00090AD5" w:rsidRDefault="00090AD5" w:rsidP="0085088F">
      <w:pPr>
        <w:pStyle w:val="AD"/>
        <w:spacing w:line="276" w:lineRule="auto"/>
      </w:pPr>
      <w:r>
        <w:rPr>
          <w:rFonts w:hint="eastAsia"/>
        </w:rPr>
        <w:t>（五）在银行间市场、证券交易所市场等国务院同意设立的交易市场交易。为其提供登记托管、清算结算等基础设施服务的机构，已纳入银行间、交易所债券市场基础设施统筹监管，按照分层有序、有机互补、服务多元的原则与债券市场其他基础设施协调配合，相关业务遵循债券和资产支持证券统一规范安排。</w:t>
      </w:r>
    </w:p>
    <w:p w14:paraId="679774C8" w14:textId="77777777" w:rsidR="00090AD5" w:rsidRDefault="00090AD5" w:rsidP="0085088F">
      <w:pPr>
        <w:pStyle w:val="AD"/>
        <w:spacing w:line="276" w:lineRule="auto"/>
      </w:pPr>
    </w:p>
    <w:p w14:paraId="3867FC0A" w14:textId="77777777" w:rsidR="00090AD5" w:rsidRDefault="00090AD5" w:rsidP="0085088F">
      <w:pPr>
        <w:pStyle w:val="AD"/>
        <w:spacing w:line="276" w:lineRule="auto"/>
      </w:pPr>
      <w:r>
        <w:rPr>
          <w:rFonts w:hint="eastAsia"/>
        </w:rPr>
        <w:t>三、符合本规则第二条第五项所列相关要求的机构，可向人民银行提出标准化债权类资产认定申请。人民银行会同金融监督管理部门根据本规则第二条所列条件及有关规定进行认定。</w:t>
      </w:r>
    </w:p>
    <w:p w14:paraId="083CEE3E" w14:textId="77777777" w:rsidR="00090AD5" w:rsidRDefault="00090AD5" w:rsidP="0085088F">
      <w:pPr>
        <w:pStyle w:val="AD"/>
        <w:spacing w:line="276" w:lineRule="auto"/>
      </w:pPr>
    </w:p>
    <w:p w14:paraId="248C7580" w14:textId="77777777" w:rsidR="00090AD5" w:rsidRDefault="00090AD5" w:rsidP="0085088F">
      <w:pPr>
        <w:pStyle w:val="AD"/>
        <w:spacing w:line="276" w:lineRule="auto"/>
      </w:pPr>
      <w:r>
        <w:rPr>
          <w:rFonts w:hint="eastAsia"/>
        </w:rPr>
        <w:t>四、不符合本规则第一条、第二条、第三条所列条件的债权类资产，为非标准化债权类资产，但存款（包括大额存单）以及债券逆回购、同业拆借等形成的资产除外。</w:t>
      </w:r>
    </w:p>
    <w:p w14:paraId="3B847316" w14:textId="77777777" w:rsidR="00090AD5" w:rsidRDefault="00090AD5" w:rsidP="0085088F">
      <w:pPr>
        <w:pStyle w:val="AD"/>
        <w:spacing w:line="276" w:lineRule="auto"/>
      </w:pPr>
    </w:p>
    <w:p w14:paraId="633FE6AF" w14:textId="77777777" w:rsidR="00090AD5" w:rsidRDefault="00090AD5" w:rsidP="0085088F">
      <w:pPr>
        <w:pStyle w:val="AD"/>
        <w:spacing w:line="276" w:lineRule="auto"/>
      </w:pPr>
      <w:r>
        <w:rPr>
          <w:rFonts w:hint="eastAsia"/>
        </w:rPr>
        <w:t>银行业理财登记托管中心有限公司的理财直接融资工具，银行业信贷资产登记流转中心有限公司的信贷资产流转和收益权转让相关产品，北京金融资产交易所有限公司的债权融资计划，中证机构间报价系统股份有限公司的收益凭证，上海保险交易所股份有限公司的债权投资计划、资产支持计划，以及其他未同时符合本规则第二条所列条件的为单一企业提供债权融资的各类金融产品，是非标准化债权类资产。</w:t>
      </w:r>
    </w:p>
    <w:p w14:paraId="2581C3A8" w14:textId="77777777" w:rsidR="00090AD5" w:rsidRDefault="00090AD5" w:rsidP="0085088F">
      <w:pPr>
        <w:pStyle w:val="AD"/>
        <w:spacing w:line="276" w:lineRule="auto"/>
      </w:pPr>
    </w:p>
    <w:p w14:paraId="7E3BD613" w14:textId="77777777" w:rsidR="00090AD5" w:rsidRDefault="00090AD5" w:rsidP="0085088F">
      <w:pPr>
        <w:pStyle w:val="AD"/>
        <w:spacing w:line="276" w:lineRule="auto"/>
      </w:pPr>
      <w:r>
        <w:rPr>
          <w:rFonts w:hint="eastAsia"/>
        </w:rPr>
        <w:t>未被纳入本规则发布前金融监督管理部门非标准化债权类资产统计范围的资产，在《指导意见》过渡期内，可豁免《指导意见》关于非标准化债权类资产投资的期限匹配、限额管理、集中度管理、信息披露等监管要求。过渡期结束后尚在存续期内的，按照有关规定妥善处理。</w:t>
      </w:r>
    </w:p>
    <w:p w14:paraId="58909322" w14:textId="77777777" w:rsidR="00090AD5" w:rsidRDefault="00090AD5" w:rsidP="0085088F">
      <w:pPr>
        <w:pStyle w:val="AD"/>
        <w:spacing w:line="276" w:lineRule="auto"/>
      </w:pPr>
    </w:p>
    <w:p w14:paraId="067BE8C9" w14:textId="040E802B" w:rsidR="00B15193" w:rsidRDefault="00090AD5" w:rsidP="0085088F">
      <w:pPr>
        <w:pStyle w:val="AD"/>
        <w:spacing w:line="276" w:lineRule="auto"/>
      </w:pPr>
      <w:r>
        <w:rPr>
          <w:rFonts w:hint="eastAsia"/>
        </w:rPr>
        <w:t>五、本规则自</w:t>
      </w:r>
      <w:r>
        <w:rPr>
          <w:rFonts w:hint="eastAsia"/>
        </w:rPr>
        <w:t>2020</w:t>
      </w:r>
      <w:r>
        <w:rPr>
          <w:rFonts w:hint="eastAsia"/>
        </w:rPr>
        <w:t>年</w:t>
      </w:r>
      <w:r>
        <w:rPr>
          <w:rFonts w:hint="eastAsia"/>
        </w:rPr>
        <w:t>8</w:t>
      </w:r>
      <w:r>
        <w:rPr>
          <w:rFonts w:hint="eastAsia"/>
        </w:rPr>
        <w:t>月</w:t>
      </w:r>
      <w:r>
        <w:rPr>
          <w:rFonts w:hint="eastAsia"/>
        </w:rPr>
        <w:t>3</w:t>
      </w:r>
      <w:r>
        <w:rPr>
          <w:rFonts w:hint="eastAsia"/>
        </w:rPr>
        <w:t>日起施行。此前有关规定与《指导意见》及本规则相关要求不一致的，以《指导意见》和本规则为准。</w:t>
      </w:r>
    </w:p>
    <w:p w14:paraId="3B579297" w14:textId="299F81B3" w:rsidR="00090AD5" w:rsidRDefault="00090AD5" w:rsidP="0085088F">
      <w:pPr>
        <w:pStyle w:val="AD"/>
        <w:spacing w:line="276" w:lineRule="auto"/>
      </w:pPr>
    </w:p>
    <w:p w14:paraId="673F7782" w14:textId="08D89B02" w:rsidR="00090AD5" w:rsidRDefault="00090AD5" w:rsidP="0085088F">
      <w:pPr>
        <w:pStyle w:val="AD"/>
        <w:spacing w:line="276" w:lineRule="auto"/>
      </w:pPr>
    </w:p>
    <w:p w14:paraId="78BF5AF7" w14:textId="753CAA31" w:rsidR="00090AD5" w:rsidRDefault="00090AD5" w:rsidP="0085088F">
      <w:pPr>
        <w:pStyle w:val="AD"/>
        <w:spacing w:line="276" w:lineRule="auto"/>
        <w:rPr>
          <w:rStyle w:val="a7"/>
        </w:rPr>
      </w:pPr>
      <w:r>
        <w:rPr>
          <w:rFonts w:hint="eastAsia"/>
        </w:rPr>
        <w:t>信息来源：</w:t>
      </w:r>
      <w:hyperlink r:id="rId6" w:history="1">
        <w:r>
          <w:rPr>
            <w:rStyle w:val="a7"/>
          </w:rPr>
          <w:t>http://www.pbc.gov.cn/goutongjiaoliu/113456/113469/4050203/index.html</w:t>
        </w:r>
      </w:hyperlink>
    </w:p>
    <w:p w14:paraId="335A1103" w14:textId="77777777" w:rsidR="00D82318" w:rsidRDefault="00D82318" w:rsidP="0085088F">
      <w:pPr>
        <w:pStyle w:val="AD"/>
        <w:spacing w:line="276" w:lineRule="auto"/>
      </w:pPr>
    </w:p>
    <w:sectPr w:rsidR="00D8231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D7D36F" w14:textId="77777777" w:rsidR="003E49F0" w:rsidRDefault="003E49F0" w:rsidP="00C20A6A">
      <w:pPr>
        <w:spacing w:line="240" w:lineRule="auto"/>
      </w:pPr>
      <w:r>
        <w:separator/>
      </w:r>
    </w:p>
  </w:endnote>
  <w:endnote w:type="continuationSeparator" w:id="0">
    <w:p w14:paraId="26E0FF54" w14:textId="77777777" w:rsidR="003E49F0" w:rsidRDefault="003E49F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964FDE" w14:textId="77777777" w:rsidR="003E49F0" w:rsidRDefault="003E49F0" w:rsidP="00C20A6A">
      <w:pPr>
        <w:spacing w:line="240" w:lineRule="auto"/>
      </w:pPr>
      <w:r>
        <w:separator/>
      </w:r>
    </w:p>
  </w:footnote>
  <w:footnote w:type="continuationSeparator" w:id="0">
    <w:p w14:paraId="61ADABE9" w14:textId="77777777" w:rsidR="003E49F0" w:rsidRDefault="003E49F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2D99"/>
    <w:rsid w:val="00090AD5"/>
    <w:rsid w:val="000F4C6A"/>
    <w:rsid w:val="0017471C"/>
    <w:rsid w:val="00176A25"/>
    <w:rsid w:val="001C4C6F"/>
    <w:rsid w:val="003D27E2"/>
    <w:rsid w:val="003E49F0"/>
    <w:rsid w:val="0045286A"/>
    <w:rsid w:val="005F7C76"/>
    <w:rsid w:val="007D7BDB"/>
    <w:rsid w:val="0080022A"/>
    <w:rsid w:val="0085088F"/>
    <w:rsid w:val="00A548E7"/>
    <w:rsid w:val="00AB7212"/>
    <w:rsid w:val="00AC2D99"/>
    <w:rsid w:val="00B15193"/>
    <w:rsid w:val="00B731F1"/>
    <w:rsid w:val="00C20A6A"/>
    <w:rsid w:val="00C22624"/>
    <w:rsid w:val="00D02718"/>
    <w:rsid w:val="00D82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0F39D"/>
  <w15:chartTrackingRefBased/>
  <w15:docId w15:val="{020296C9-1513-4017-A79C-CC00911B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09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goutongjiaoliu/113456/113469/405020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2020-07-09T05:52:00Z</dcterms:created>
  <dcterms:modified xsi:type="dcterms:W3CDTF">2020-07-09T10:34:00Z</dcterms:modified>
</cp:coreProperties>
</file>