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BEF4D" w14:textId="582D0BF2" w:rsidR="00624884" w:rsidRPr="00AB25B8" w:rsidRDefault="00624884" w:rsidP="00AB25B8">
      <w:pPr>
        <w:spacing w:line="276" w:lineRule="auto"/>
        <w:jc w:val="center"/>
        <w:rPr>
          <w:b/>
          <w:bCs/>
          <w:color w:val="ED7D31" w:themeColor="accent2"/>
          <w:sz w:val="32"/>
          <w:szCs w:val="36"/>
        </w:rPr>
      </w:pPr>
      <w:r w:rsidRPr="00AB25B8">
        <w:rPr>
          <w:rFonts w:hint="eastAsia"/>
          <w:b/>
          <w:bCs/>
          <w:color w:val="ED7D31" w:themeColor="accent2"/>
          <w:sz w:val="32"/>
          <w:szCs w:val="36"/>
        </w:rPr>
        <w:t>关于应对疫情统筹做好支持台资企业发展和推进台资项目有关工作的通知</w:t>
      </w:r>
    </w:p>
    <w:p w14:paraId="0309A579" w14:textId="35A499E5" w:rsidR="00624884" w:rsidRDefault="00624884" w:rsidP="00AB25B8">
      <w:pPr>
        <w:spacing w:line="276" w:lineRule="auto"/>
        <w:jc w:val="center"/>
      </w:pPr>
      <w:proofErr w:type="gramStart"/>
      <w:r>
        <w:rPr>
          <w:rFonts w:hint="eastAsia"/>
        </w:rPr>
        <w:t>发改厅</w:t>
      </w:r>
      <w:proofErr w:type="gramEnd"/>
      <w:r>
        <w:rPr>
          <w:rFonts w:hint="eastAsia"/>
        </w:rPr>
        <w:t>〔</w:t>
      </w:r>
      <w:r>
        <w:rPr>
          <w:rFonts w:hint="eastAsia"/>
        </w:rPr>
        <w:t>2020</w:t>
      </w:r>
      <w:r>
        <w:rPr>
          <w:rFonts w:hint="eastAsia"/>
        </w:rPr>
        <w:t>〕</w:t>
      </w:r>
      <w:r>
        <w:rPr>
          <w:rFonts w:hint="eastAsia"/>
        </w:rPr>
        <w:t>755</w:t>
      </w:r>
      <w:r>
        <w:rPr>
          <w:rFonts w:hint="eastAsia"/>
        </w:rPr>
        <w:t>号</w:t>
      </w:r>
    </w:p>
    <w:p w14:paraId="241DB8F3" w14:textId="77777777" w:rsidR="00624884" w:rsidRDefault="00624884" w:rsidP="00AB25B8">
      <w:pPr>
        <w:spacing w:line="276" w:lineRule="auto"/>
      </w:pPr>
    </w:p>
    <w:p w14:paraId="234CF947" w14:textId="77777777" w:rsidR="00624884" w:rsidRDefault="00624884" w:rsidP="00AB25B8">
      <w:pPr>
        <w:spacing w:line="276" w:lineRule="auto"/>
      </w:pPr>
      <w:r>
        <w:rPr>
          <w:rFonts w:hint="eastAsia"/>
        </w:rPr>
        <w:t>各省、自治区、直辖市、新疆生产建设兵团发展改革委、台办、工业和信息化主管部门、财政厅、人力资源社会保障厅、自然资源主管部门、商务厅、银保监局、证监局，中国人民银行上海总部，各分行、营业管理部，省会（首府）城市中心支行：</w:t>
      </w:r>
    </w:p>
    <w:p w14:paraId="5B03EFB5" w14:textId="77777777" w:rsidR="00624884" w:rsidRDefault="00624884" w:rsidP="00AB25B8">
      <w:pPr>
        <w:spacing w:line="276" w:lineRule="auto"/>
      </w:pPr>
      <w:r>
        <w:t>  </w:t>
      </w:r>
      <w:r>
        <w:rPr>
          <w:rFonts w:hint="eastAsia"/>
        </w:rPr>
        <w:t>为贯彻落实党中央、国务院关于统筹推进新冠肺炎疫情防控和经济社会发展工作的决策部署，进一步</w:t>
      </w:r>
      <w:proofErr w:type="gramStart"/>
      <w:r>
        <w:rPr>
          <w:rFonts w:hint="eastAsia"/>
        </w:rPr>
        <w:t>落细落实</w:t>
      </w:r>
      <w:proofErr w:type="gramEnd"/>
      <w:r>
        <w:rPr>
          <w:rFonts w:hint="eastAsia"/>
        </w:rPr>
        <w:t>《关于促进两岸经济文化交流合作的若干措施》和《关于进一步促进两岸经济文化交流合作的若干措施》，现就相关事项通知如下。</w:t>
      </w:r>
    </w:p>
    <w:p w14:paraId="410FE791" w14:textId="77777777" w:rsidR="00624884" w:rsidRDefault="00624884" w:rsidP="00AB25B8">
      <w:pPr>
        <w:spacing w:line="276" w:lineRule="auto"/>
      </w:pPr>
      <w:r>
        <w:t>  </w:t>
      </w:r>
      <w:r>
        <w:rPr>
          <w:rFonts w:hint="eastAsia"/>
        </w:rPr>
        <w:t>一、持续帮扶台资企业复工复产。根据地方统筹做好疫情防控和复工复产总体安排，协助解决台资企业在生产经营过程中遇到的供应链协同、达产等方面困难，确保台资企业同等享有中央和地方出台的各</w:t>
      </w:r>
      <w:proofErr w:type="gramStart"/>
      <w:r>
        <w:rPr>
          <w:rFonts w:hint="eastAsia"/>
        </w:rPr>
        <w:t>类援企稳岗政策</w:t>
      </w:r>
      <w:proofErr w:type="gramEnd"/>
      <w:r>
        <w:rPr>
          <w:rFonts w:hint="eastAsia"/>
        </w:rPr>
        <w:t>。</w:t>
      </w:r>
    </w:p>
    <w:p w14:paraId="1A338656" w14:textId="77777777" w:rsidR="00624884" w:rsidRDefault="00624884" w:rsidP="00AB25B8">
      <w:pPr>
        <w:spacing w:line="276" w:lineRule="auto"/>
      </w:pPr>
      <w:r>
        <w:t>  </w:t>
      </w:r>
      <w:r>
        <w:rPr>
          <w:rFonts w:hint="eastAsia"/>
        </w:rPr>
        <w:t>二、统筹协调推进重大台资项目。参照重大外资项目有关机制协调推进重大台资项目，密切跟踪在谈项目进展，充分发挥各类涉台产业园区等发展平台优势，出台具有竞争力和针对性的招商引资政策，加强各级联动和部门协同，建立项目绿色通道，做好工程建设保障、审批事项衔接，开展全流程对接服务，促进台资项目加快落地见效，为台资企业参与</w:t>
      </w:r>
      <w:proofErr w:type="gramStart"/>
      <w:r>
        <w:rPr>
          <w:rFonts w:hint="eastAsia"/>
        </w:rPr>
        <w:t>本地重大</w:t>
      </w:r>
      <w:proofErr w:type="gramEnd"/>
      <w:r>
        <w:rPr>
          <w:rFonts w:hint="eastAsia"/>
        </w:rPr>
        <w:t>项目提供同等待遇。</w:t>
      </w:r>
    </w:p>
    <w:p w14:paraId="45B550DB" w14:textId="77777777" w:rsidR="00624884" w:rsidRDefault="00624884" w:rsidP="00AB25B8">
      <w:pPr>
        <w:spacing w:line="276" w:lineRule="auto"/>
      </w:pPr>
      <w:r>
        <w:t>  </w:t>
      </w:r>
      <w:r>
        <w:rPr>
          <w:rFonts w:hint="eastAsia"/>
        </w:rPr>
        <w:t>三、积极支持台资企业增资扩产。根据地方实际，在法定权限内研究出台用地、用能、用工等方面具体措施，为台资企业增资扩产提供政策支持。全面落实境外投资者以分配利润直接投资暂不征收预提所得税政策规定，支持台资企业以分配利润进行再投资。支持台资企业参与海南自由贸易港建设、粤港澳大湾区建设、长三角一体化发展等区域发展战略和各地自贸试验区建设。支持有产业转移需求的东部地区台资企业优先向中西部和东北地区转移。</w:t>
      </w:r>
    </w:p>
    <w:p w14:paraId="57EBC390" w14:textId="77777777" w:rsidR="00624884" w:rsidRDefault="00624884" w:rsidP="00AB25B8">
      <w:pPr>
        <w:spacing w:line="276" w:lineRule="auto"/>
      </w:pPr>
      <w:r>
        <w:t>  </w:t>
      </w:r>
      <w:r>
        <w:rPr>
          <w:rFonts w:hint="eastAsia"/>
        </w:rPr>
        <w:t>四、促进台资企业参与新型和传统基础设施建设。支持台资企业发挥自身优势，与大陆企业共同研发、共建标准、共创品牌、共拓市场，以多种形式参与大陆</w:t>
      </w:r>
      <w:r>
        <w:t>5G</w:t>
      </w:r>
      <w:r>
        <w:rPr>
          <w:rFonts w:hint="eastAsia"/>
        </w:rPr>
        <w:t>、工业互联网、人工智能、物联网等新型基础设施的研发、生产和建设。对台资企业和台湾高端人才从事新型基础设施相关的集成电路、工业软件、信息系统等，提供与大陆企业和同胞同等待遇。继续支持台资企业参与交通、能源、水利等传统基础设施建设。</w:t>
      </w:r>
    </w:p>
    <w:p w14:paraId="0ABA5BA2" w14:textId="77777777" w:rsidR="00624884" w:rsidRDefault="00624884" w:rsidP="00AB25B8">
      <w:pPr>
        <w:spacing w:line="276" w:lineRule="auto"/>
      </w:pPr>
      <w:r>
        <w:t>  </w:t>
      </w:r>
      <w:r>
        <w:rPr>
          <w:rFonts w:hint="eastAsia"/>
        </w:rPr>
        <w:t>五、支持台资企业稳外贸。鼓励台资企业发展跨境电商，开展线上供采对接，扩大出口业务。指导台资企业充分利用中欧班</w:t>
      </w:r>
      <w:proofErr w:type="gramStart"/>
      <w:r>
        <w:rPr>
          <w:rFonts w:hint="eastAsia"/>
        </w:rPr>
        <w:t>列开展</w:t>
      </w:r>
      <w:proofErr w:type="gramEnd"/>
      <w:r>
        <w:rPr>
          <w:rFonts w:hint="eastAsia"/>
        </w:rPr>
        <w:t>进出口贸易。落实相关</w:t>
      </w:r>
      <w:proofErr w:type="gramStart"/>
      <w:r>
        <w:rPr>
          <w:rFonts w:hint="eastAsia"/>
        </w:rPr>
        <w:t>纾</w:t>
      </w:r>
      <w:proofErr w:type="gramEnd"/>
      <w:r>
        <w:rPr>
          <w:rFonts w:hint="eastAsia"/>
        </w:rPr>
        <w:t>困政策，支持台资加工贸易企业统筹内外贸发展。进一步扩大出口信用保险对台资企业的覆盖面。</w:t>
      </w:r>
    </w:p>
    <w:p w14:paraId="2A5A140B" w14:textId="77777777" w:rsidR="00624884" w:rsidRDefault="00624884" w:rsidP="00AB25B8">
      <w:pPr>
        <w:spacing w:line="276" w:lineRule="auto"/>
      </w:pPr>
      <w:r>
        <w:t>  </w:t>
      </w:r>
      <w:r>
        <w:rPr>
          <w:rFonts w:hint="eastAsia"/>
        </w:rPr>
        <w:t>六、有效引导台资企业拓展内销市场。支持台资企业适应大陆“互联网</w:t>
      </w:r>
      <w:r>
        <w:t>+”</w:t>
      </w:r>
      <w:r>
        <w:rPr>
          <w:rFonts w:hint="eastAsia"/>
        </w:rPr>
        <w:t>发展和消费升级趋势，借助大陆电商平台开展线上市场营销推广，拓宽对接内需市场的渠道，充分挖掘大陆市场潜力。</w:t>
      </w:r>
    </w:p>
    <w:p w14:paraId="5CBFBAB1" w14:textId="77777777" w:rsidR="00624884" w:rsidRDefault="00624884" w:rsidP="00AB25B8">
      <w:pPr>
        <w:spacing w:line="276" w:lineRule="auto"/>
      </w:pPr>
      <w:r>
        <w:t>  </w:t>
      </w:r>
      <w:r>
        <w:rPr>
          <w:rFonts w:hint="eastAsia"/>
        </w:rPr>
        <w:t>七、全面落实税费减免政策。落实好阶段性减免企业社会保险费政策，对符合条件的台资企业按规定免征或减半征收社会保险单位缴费部分。有条件的地方可研究出台减免物业租金、降低生产要素成本、加大企业职工技能培训补贴等支持政策，符合条件的台资企业可同</w:t>
      </w:r>
      <w:r>
        <w:rPr>
          <w:rFonts w:hint="eastAsia"/>
        </w:rPr>
        <w:lastRenderedPageBreak/>
        <w:t>等申请享受。</w:t>
      </w:r>
    </w:p>
    <w:p w14:paraId="426A0A31" w14:textId="77777777" w:rsidR="00624884" w:rsidRDefault="00624884" w:rsidP="00AB25B8">
      <w:pPr>
        <w:spacing w:line="276" w:lineRule="auto"/>
      </w:pPr>
      <w:r>
        <w:t>  </w:t>
      </w:r>
      <w:r>
        <w:rPr>
          <w:rFonts w:hint="eastAsia"/>
        </w:rPr>
        <w:t>八、强化金融支持台资企业疫情防控和复工复产。落实金融支持防控疫情相关政策，为受疫情影响较大的台资企业提供优惠的金融服务。发挥国有控股小额贷款公司等地方金融组织的作用，加大信贷支持力度，满足台资企业差异</w:t>
      </w:r>
      <w:proofErr w:type="gramStart"/>
      <w:r>
        <w:rPr>
          <w:rFonts w:hint="eastAsia"/>
        </w:rPr>
        <w:t>化金融</w:t>
      </w:r>
      <w:proofErr w:type="gramEnd"/>
      <w:r>
        <w:rPr>
          <w:rFonts w:hint="eastAsia"/>
        </w:rPr>
        <w:t>需求。鼓励符合条件的台资企业在大陆上市融资，为符合条件的</w:t>
      </w:r>
      <w:proofErr w:type="gramStart"/>
      <w:r>
        <w:rPr>
          <w:rFonts w:hint="eastAsia"/>
        </w:rPr>
        <w:t>科创型台资</w:t>
      </w:r>
      <w:proofErr w:type="gramEnd"/>
      <w:r>
        <w:rPr>
          <w:rFonts w:hint="eastAsia"/>
        </w:rPr>
        <w:t>企业在</w:t>
      </w:r>
      <w:proofErr w:type="gramStart"/>
      <w:r>
        <w:rPr>
          <w:rFonts w:hint="eastAsia"/>
        </w:rPr>
        <w:t>科创板</w:t>
      </w:r>
      <w:proofErr w:type="gramEnd"/>
      <w:r>
        <w:rPr>
          <w:rFonts w:hint="eastAsia"/>
        </w:rPr>
        <w:t>上市提供支持。鼓励台湾金融机构把握大陆金融领域自主开放新机遇，参与两岸金融合作。</w:t>
      </w:r>
    </w:p>
    <w:p w14:paraId="7915D73C" w14:textId="77777777" w:rsidR="00624884" w:rsidRDefault="00624884" w:rsidP="00AB25B8">
      <w:pPr>
        <w:spacing w:line="276" w:lineRule="auto"/>
      </w:pPr>
      <w:r>
        <w:t>  </w:t>
      </w:r>
      <w:r>
        <w:rPr>
          <w:rFonts w:hint="eastAsia"/>
        </w:rPr>
        <w:t>九、充分保障台资项目合理用地需求。对于台资企业复工复产、重大投资项目，坚持“要素跟着项目走”，合理安排用地计划指标，按照《国务院关于授权和委托用地审批权的决定》（国发〔</w:t>
      </w:r>
      <w:r>
        <w:t>2020</w:t>
      </w:r>
      <w:r>
        <w:rPr>
          <w:rFonts w:hint="eastAsia"/>
        </w:rPr>
        <w:t>〕</w:t>
      </w:r>
      <w:r>
        <w:t>4</w:t>
      </w:r>
      <w:r>
        <w:rPr>
          <w:rFonts w:hint="eastAsia"/>
        </w:rPr>
        <w:t>号）等政策文件和“放管服”要求依法依规做好用地保障服务。鼓励探索推行“标准地”供应改革，通过区域评价统一化、开发标准公开化、权利义务合同化、履约监管闭环化等方式，加快台资项目落地。</w:t>
      </w:r>
    </w:p>
    <w:p w14:paraId="55EF060B" w14:textId="77777777" w:rsidR="00624884" w:rsidRDefault="00624884" w:rsidP="00AB25B8">
      <w:pPr>
        <w:spacing w:line="276" w:lineRule="auto"/>
      </w:pPr>
      <w:r>
        <w:t>  </w:t>
      </w:r>
      <w:r>
        <w:rPr>
          <w:rFonts w:hint="eastAsia"/>
        </w:rPr>
        <w:t>十、有力支持台资中小企业发展。充分发挥各级中小企业公共服务示范平台作用，通过线上培训等形式，为台资中小企业提供政策、技术、管理等方面服务。积极帮助台资中小企业解决受疫情影响造成的合同履行、劳动关系等法律问题。鼓励台资中小企业利用好本级相关资金等支持政策。</w:t>
      </w:r>
    </w:p>
    <w:p w14:paraId="4DC7A78A" w14:textId="77777777" w:rsidR="00624884" w:rsidRDefault="00624884" w:rsidP="00AB25B8">
      <w:pPr>
        <w:spacing w:line="276" w:lineRule="auto"/>
      </w:pPr>
      <w:r>
        <w:t>  </w:t>
      </w:r>
      <w:r>
        <w:rPr>
          <w:rFonts w:hint="eastAsia"/>
        </w:rPr>
        <w:t>十一、主动做好台资企业服务工作。对台资企业一视同仁，着力为台资企业办实事、做好事、解难事。加强与本地台资企业协会、重点台资企业等沟通交流，宣传解读有关政策法规，通报疫情防控和复工复产有关工作要求，认真听取台资企业意见建议，积极回应台资企业关切诉求，妥善化解涉台纠纷，切实维护台资企业合法权益。</w:t>
      </w:r>
    </w:p>
    <w:p w14:paraId="7F734746" w14:textId="77777777" w:rsidR="00624884" w:rsidRDefault="00624884" w:rsidP="00AB25B8">
      <w:pPr>
        <w:spacing w:line="276" w:lineRule="auto"/>
      </w:pPr>
      <w:r>
        <w:t>  </w:t>
      </w:r>
      <w:r>
        <w:rPr>
          <w:rFonts w:hint="eastAsia"/>
        </w:rPr>
        <w:t>各地发展改革委、台办要会同工业和信息化主管部门、财政厅、人力资源社会保障厅、自然资源主管部门、商务厅、人民银行、银保监局、证监局等共同落实好上述工作部署，支持台资企业应对疫情、复工复产和投资发展，防范化解潜在风险，持续促进两岸经济交流合作，深化两岸融合发展。</w:t>
      </w:r>
    </w:p>
    <w:p w14:paraId="04824916" w14:textId="77777777" w:rsidR="00624884" w:rsidRDefault="00624884" w:rsidP="00AB25B8">
      <w:pPr>
        <w:spacing w:line="276" w:lineRule="auto"/>
      </w:pPr>
    </w:p>
    <w:p w14:paraId="153A7FD3" w14:textId="77777777" w:rsidR="00624884" w:rsidRDefault="00624884" w:rsidP="00AB25B8">
      <w:pPr>
        <w:spacing w:line="276" w:lineRule="auto"/>
        <w:jc w:val="right"/>
      </w:pPr>
      <w:r>
        <w:rPr>
          <w:rFonts w:hint="eastAsia"/>
        </w:rPr>
        <w:t>国家发展改革委</w:t>
      </w:r>
    </w:p>
    <w:p w14:paraId="0046894A" w14:textId="77777777" w:rsidR="00624884" w:rsidRDefault="00624884" w:rsidP="00AB25B8">
      <w:pPr>
        <w:spacing w:line="276" w:lineRule="auto"/>
        <w:jc w:val="right"/>
      </w:pPr>
      <w:r>
        <w:rPr>
          <w:rFonts w:hint="eastAsia"/>
        </w:rPr>
        <w:t>国</w:t>
      </w:r>
      <w:r>
        <w:rPr>
          <w:rFonts w:hint="eastAsia"/>
        </w:rPr>
        <w:t xml:space="preserve"> </w:t>
      </w:r>
      <w:proofErr w:type="gramStart"/>
      <w:r>
        <w:rPr>
          <w:rFonts w:hint="eastAsia"/>
        </w:rPr>
        <w:t>务</w:t>
      </w:r>
      <w:proofErr w:type="gramEnd"/>
      <w:r>
        <w:rPr>
          <w:rFonts w:hint="eastAsia"/>
        </w:rPr>
        <w:t xml:space="preserve"> </w:t>
      </w:r>
      <w:r>
        <w:rPr>
          <w:rFonts w:hint="eastAsia"/>
        </w:rPr>
        <w:t>院</w:t>
      </w:r>
      <w:r>
        <w:rPr>
          <w:rFonts w:hint="eastAsia"/>
        </w:rPr>
        <w:t xml:space="preserve"> </w:t>
      </w:r>
      <w:r>
        <w:rPr>
          <w:rFonts w:hint="eastAsia"/>
        </w:rPr>
        <w:t>台</w:t>
      </w:r>
      <w:r>
        <w:rPr>
          <w:rFonts w:hint="eastAsia"/>
        </w:rPr>
        <w:t xml:space="preserve"> </w:t>
      </w:r>
      <w:r>
        <w:rPr>
          <w:rFonts w:hint="eastAsia"/>
        </w:rPr>
        <w:t>办</w:t>
      </w:r>
    </w:p>
    <w:p w14:paraId="2D0D81DF" w14:textId="77777777" w:rsidR="00624884" w:rsidRDefault="00624884" w:rsidP="00AB25B8">
      <w:pPr>
        <w:spacing w:line="276" w:lineRule="auto"/>
        <w:jc w:val="right"/>
      </w:pPr>
      <w:r>
        <w:rPr>
          <w:rFonts w:hint="eastAsia"/>
        </w:rPr>
        <w:t>工业和信息化部</w:t>
      </w:r>
    </w:p>
    <w:p w14:paraId="7A3C255F" w14:textId="77777777" w:rsidR="00624884" w:rsidRDefault="00624884" w:rsidP="00AB25B8">
      <w:pPr>
        <w:spacing w:line="276" w:lineRule="auto"/>
        <w:jc w:val="right"/>
      </w:pPr>
      <w:r>
        <w:rPr>
          <w:rFonts w:hint="eastAsia"/>
        </w:rPr>
        <w:t>财</w:t>
      </w:r>
      <w:r>
        <w:t>  </w:t>
      </w:r>
      <w:r>
        <w:rPr>
          <w:rFonts w:hint="eastAsia"/>
        </w:rPr>
        <w:t>政</w:t>
      </w:r>
      <w:r>
        <w:t>  </w:t>
      </w:r>
      <w:r>
        <w:rPr>
          <w:rFonts w:hint="eastAsia"/>
        </w:rPr>
        <w:t>部</w:t>
      </w:r>
    </w:p>
    <w:p w14:paraId="7072A22C" w14:textId="77777777" w:rsidR="00624884" w:rsidRDefault="00624884" w:rsidP="00AB25B8">
      <w:pPr>
        <w:spacing w:line="276" w:lineRule="auto"/>
        <w:jc w:val="right"/>
      </w:pPr>
      <w:r>
        <w:rPr>
          <w:rFonts w:hint="eastAsia"/>
        </w:rPr>
        <w:t>人力资源社会保障部</w:t>
      </w:r>
    </w:p>
    <w:p w14:paraId="78C46B24" w14:textId="77777777" w:rsidR="00624884" w:rsidRDefault="00624884" w:rsidP="00AB25B8">
      <w:pPr>
        <w:spacing w:line="276" w:lineRule="auto"/>
        <w:jc w:val="right"/>
      </w:pPr>
      <w:r>
        <w:rPr>
          <w:rFonts w:hint="eastAsia"/>
        </w:rPr>
        <w:t>自</w:t>
      </w:r>
      <w:r>
        <w:rPr>
          <w:rFonts w:hint="eastAsia"/>
        </w:rPr>
        <w:t xml:space="preserve"> </w:t>
      </w:r>
      <w:r>
        <w:rPr>
          <w:rFonts w:hint="eastAsia"/>
        </w:rPr>
        <w:t>然</w:t>
      </w:r>
      <w:r>
        <w:rPr>
          <w:rFonts w:hint="eastAsia"/>
        </w:rPr>
        <w:t xml:space="preserve"> </w:t>
      </w:r>
      <w:r>
        <w:rPr>
          <w:rFonts w:hint="eastAsia"/>
        </w:rPr>
        <w:t>资</w:t>
      </w:r>
      <w:r>
        <w:rPr>
          <w:rFonts w:hint="eastAsia"/>
        </w:rPr>
        <w:t xml:space="preserve"> </w:t>
      </w:r>
      <w:r>
        <w:rPr>
          <w:rFonts w:hint="eastAsia"/>
        </w:rPr>
        <w:t>源</w:t>
      </w:r>
      <w:r>
        <w:rPr>
          <w:rFonts w:hint="eastAsia"/>
        </w:rPr>
        <w:t xml:space="preserve"> </w:t>
      </w:r>
      <w:r>
        <w:rPr>
          <w:rFonts w:hint="eastAsia"/>
        </w:rPr>
        <w:t>部</w:t>
      </w:r>
    </w:p>
    <w:p w14:paraId="224F3958" w14:textId="77777777" w:rsidR="00624884" w:rsidRDefault="00624884" w:rsidP="00AB25B8">
      <w:pPr>
        <w:spacing w:line="276" w:lineRule="auto"/>
        <w:jc w:val="right"/>
      </w:pPr>
      <w:r>
        <w:rPr>
          <w:rFonts w:hint="eastAsia"/>
        </w:rPr>
        <w:t>商</w:t>
      </w:r>
      <w:r>
        <w:t>  </w:t>
      </w:r>
      <w:proofErr w:type="gramStart"/>
      <w:r>
        <w:rPr>
          <w:rFonts w:hint="eastAsia"/>
        </w:rPr>
        <w:t>务</w:t>
      </w:r>
      <w:proofErr w:type="gramEnd"/>
      <w:r>
        <w:t>  </w:t>
      </w:r>
      <w:r>
        <w:rPr>
          <w:rFonts w:hint="eastAsia"/>
        </w:rPr>
        <w:t>部</w:t>
      </w:r>
    </w:p>
    <w:p w14:paraId="5457A2C9" w14:textId="77777777" w:rsidR="00624884" w:rsidRDefault="00624884" w:rsidP="00AB25B8">
      <w:pPr>
        <w:spacing w:line="276" w:lineRule="auto"/>
        <w:jc w:val="right"/>
      </w:pPr>
      <w:r>
        <w:rPr>
          <w:rFonts w:hint="eastAsia"/>
        </w:rPr>
        <w:t>人</w:t>
      </w:r>
      <w:r>
        <w:t> </w:t>
      </w:r>
      <w:r>
        <w:rPr>
          <w:rFonts w:hint="eastAsia"/>
        </w:rPr>
        <w:t>民</w:t>
      </w:r>
      <w:r>
        <w:t> </w:t>
      </w:r>
      <w:r>
        <w:rPr>
          <w:rFonts w:hint="eastAsia"/>
        </w:rPr>
        <w:t>银</w:t>
      </w:r>
      <w:r>
        <w:t> </w:t>
      </w:r>
      <w:r>
        <w:rPr>
          <w:rFonts w:hint="eastAsia"/>
        </w:rPr>
        <w:t>行</w:t>
      </w:r>
    </w:p>
    <w:p w14:paraId="410CCD3D" w14:textId="77777777" w:rsidR="00624884" w:rsidRDefault="00624884" w:rsidP="00AB25B8">
      <w:pPr>
        <w:spacing w:line="276" w:lineRule="auto"/>
        <w:jc w:val="right"/>
      </w:pPr>
      <w:r>
        <w:rPr>
          <w:rFonts w:hint="eastAsia"/>
        </w:rPr>
        <w:t>银</w:t>
      </w:r>
      <w:r>
        <w:t> </w:t>
      </w:r>
      <w:r>
        <w:rPr>
          <w:rFonts w:hint="eastAsia"/>
        </w:rPr>
        <w:t>保</w:t>
      </w:r>
      <w:r>
        <w:t> </w:t>
      </w:r>
      <w:r>
        <w:rPr>
          <w:rFonts w:hint="eastAsia"/>
        </w:rPr>
        <w:t>监</w:t>
      </w:r>
      <w:r>
        <w:t> </w:t>
      </w:r>
      <w:r>
        <w:rPr>
          <w:rFonts w:hint="eastAsia"/>
        </w:rPr>
        <w:t>会</w:t>
      </w:r>
    </w:p>
    <w:p w14:paraId="232A7D4C" w14:textId="77777777" w:rsidR="00624884" w:rsidRDefault="00624884" w:rsidP="00AB25B8">
      <w:pPr>
        <w:spacing w:line="276" w:lineRule="auto"/>
        <w:jc w:val="right"/>
      </w:pPr>
      <w:r>
        <w:rPr>
          <w:rFonts w:hint="eastAsia"/>
        </w:rPr>
        <w:t>证</w:t>
      </w:r>
      <w:r>
        <w:t>  </w:t>
      </w:r>
      <w:r>
        <w:rPr>
          <w:rFonts w:hint="eastAsia"/>
        </w:rPr>
        <w:t>监</w:t>
      </w:r>
      <w:r>
        <w:t>  </w:t>
      </w:r>
      <w:r>
        <w:rPr>
          <w:rFonts w:hint="eastAsia"/>
        </w:rPr>
        <w:t>会</w:t>
      </w:r>
    </w:p>
    <w:p w14:paraId="605B0397" w14:textId="5D03DFA2" w:rsidR="005A3F0B" w:rsidRDefault="00624884" w:rsidP="00AB25B8">
      <w:pPr>
        <w:spacing w:line="276" w:lineRule="auto"/>
        <w:jc w:val="right"/>
      </w:pPr>
      <w:r>
        <w:rPr>
          <w:rFonts w:hint="eastAsia"/>
        </w:rPr>
        <w:t>2020</w:t>
      </w:r>
      <w:r>
        <w:rPr>
          <w:rFonts w:hint="eastAsia"/>
        </w:rPr>
        <w:t>年</w:t>
      </w:r>
      <w:r>
        <w:rPr>
          <w:rFonts w:hint="eastAsia"/>
        </w:rPr>
        <w:t>5</w:t>
      </w:r>
      <w:r>
        <w:rPr>
          <w:rFonts w:hint="eastAsia"/>
        </w:rPr>
        <w:t>月</w:t>
      </w:r>
      <w:r>
        <w:rPr>
          <w:rFonts w:hint="eastAsia"/>
        </w:rPr>
        <w:t>15</w:t>
      </w:r>
      <w:r>
        <w:rPr>
          <w:rFonts w:hint="eastAsia"/>
        </w:rPr>
        <w:t>日</w:t>
      </w:r>
    </w:p>
    <w:p w14:paraId="78A720B1" w14:textId="3E9E1425" w:rsidR="00624884" w:rsidRDefault="00624884" w:rsidP="00AB25B8">
      <w:pPr>
        <w:spacing w:line="276" w:lineRule="auto"/>
      </w:pPr>
    </w:p>
    <w:p w14:paraId="5177B45E" w14:textId="784F6DAF" w:rsidR="00624884" w:rsidRDefault="00624884" w:rsidP="00AB25B8">
      <w:pPr>
        <w:spacing w:line="276" w:lineRule="auto"/>
      </w:pPr>
    </w:p>
    <w:p w14:paraId="1A2FD63A" w14:textId="53301915" w:rsidR="00624884" w:rsidRDefault="00624884" w:rsidP="00AB25B8">
      <w:pPr>
        <w:spacing w:line="276" w:lineRule="auto"/>
        <w:rPr>
          <w:rStyle w:val="a5"/>
        </w:rPr>
      </w:pPr>
      <w:r>
        <w:rPr>
          <w:rFonts w:hint="eastAsia"/>
        </w:rPr>
        <w:t>信息来源：</w:t>
      </w:r>
      <w:hyperlink r:id="rId6" w:history="1">
        <w:r>
          <w:rPr>
            <w:rStyle w:val="a5"/>
          </w:rPr>
          <w:t>https://www.ndrc.gov.cn/xxgk/zcfb/tz/202005/t20200515_1228193.html</w:t>
        </w:r>
      </w:hyperlink>
    </w:p>
    <w:p w14:paraId="773F101E" w14:textId="77777777" w:rsidR="0038176A" w:rsidRDefault="0038176A" w:rsidP="00AB25B8">
      <w:pPr>
        <w:spacing w:line="276" w:lineRule="auto"/>
      </w:pPr>
    </w:p>
    <w:sectPr w:rsidR="003817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BE4B4" w14:textId="77777777" w:rsidR="002E7141" w:rsidRDefault="002E7141" w:rsidP="0038176A">
      <w:r>
        <w:separator/>
      </w:r>
    </w:p>
  </w:endnote>
  <w:endnote w:type="continuationSeparator" w:id="0">
    <w:p w14:paraId="65332449" w14:textId="77777777" w:rsidR="002E7141" w:rsidRDefault="002E7141" w:rsidP="0038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0B5B7" w14:textId="77777777" w:rsidR="002E7141" w:rsidRDefault="002E7141" w:rsidP="0038176A">
      <w:r>
        <w:separator/>
      </w:r>
    </w:p>
  </w:footnote>
  <w:footnote w:type="continuationSeparator" w:id="0">
    <w:p w14:paraId="2F73FF70" w14:textId="77777777" w:rsidR="002E7141" w:rsidRDefault="002E7141" w:rsidP="00381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EE"/>
    <w:rsid w:val="002E7141"/>
    <w:rsid w:val="0038176A"/>
    <w:rsid w:val="005A3F0B"/>
    <w:rsid w:val="00624884"/>
    <w:rsid w:val="00841EFF"/>
    <w:rsid w:val="00A553EE"/>
    <w:rsid w:val="00AB25B8"/>
    <w:rsid w:val="00C9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1BAB1"/>
  <w15:chartTrackingRefBased/>
  <w15:docId w15:val="{A24B0DE0-7511-4CB5-9180-17F2B3AF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EFF"/>
    <w:pPr>
      <w:widowControl w:val="0"/>
      <w:jc w:val="both"/>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884"/>
    <w:pPr>
      <w:ind w:leftChars="2500" w:left="100"/>
    </w:pPr>
  </w:style>
  <w:style w:type="character" w:customStyle="1" w:styleId="a4">
    <w:name w:val="日期 字符"/>
    <w:basedOn w:val="a0"/>
    <w:link w:val="a3"/>
    <w:uiPriority w:val="99"/>
    <w:semiHidden/>
    <w:rsid w:val="00624884"/>
    <w:rPr>
      <w:rFonts w:ascii="Arial" w:eastAsia="宋体" w:hAnsi="Arial"/>
    </w:rPr>
  </w:style>
  <w:style w:type="character" w:styleId="a5">
    <w:name w:val="Hyperlink"/>
    <w:basedOn w:val="a0"/>
    <w:uiPriority w:val="99"/>
    <w:semiHidden/>
    <w:unhideWhenUsed/>
    <w:rsid w:val="00624884"/>
    <w:rPr>
      <w:color w:val="0000FF"/>
      <w:u w:val="single"/>
    </w:rPr>
  </w:style>
  <w:style w:type="paragraph" w:styleId="a6">
    <w:name w:val="header"/>
    <w:basedOn w:val="a"/>
    <w:link w:val="a7"/>
    <w:uiPriority w:val="99"/>
    <w:unhideWhenUsed/>
    <w:rsid w:val="0038176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8176A"/>
    <w:rPr>
      <w:rFonts w:ascii="Arial" w:eastAsia="宋体" w:hAnsi="Arial"/>
      <w:sz w:val="18"/>
      <w:szCs w:val="18"/>
    </w:rPr>
  </w:style>
  <w:style w:type="paragraph" w:styleId="a8">
    <w:name w:val="footer"/>
    <w:basedOn w:val="a"/>
    <w:link w:val="a9"/>
    <w:uiPriority w:val="99"/>
    <w:unhideWhenUsed/>
    <w:rsid w:val="0038176A"/>
    <w:pPr>
      <w:tabs>
        <w:tab w:val="center" w:pos="4153"/>
        <w:tab w:val="right" w:pos="8306"/>
      </w:tabs>
      <w:snapToGrid w:val="0"/>
      <w:jc w:val="left"/>
    </w:pPr>
    <w:rPr>
      <w:sz w:val="18"/>
      <w:szCs w:val="18"/>
    </w:rPr>
  </w:style>
  <w:style w:type="character" w:customStyle="1" w:styleId="a9">
    <w:name w:val="页脚 字符"/>
    <w:basedOn w:val="a0"/>
    <w:link w:val="a8"/>
    <w:uiPriority w:val="99"/>
    <w:rsid w:val="0038176A"/>
    <w:rPr>
      <w:rFonts w:ascii="Arial" w:eastAsia="宋体"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005/t20200515_122819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2020-05-21T04:30:00Z</dcterms:created>
  <dcterms:modified xsi:type="dcterms:W3CDTF">2020-05-22T02:39:00Z</dcterms:modified>
</cp:coreProperties>
</file>