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9D818" w14:textId="77777777" w:rsidR="00E82D77" w:rsidRPr="00A97E61" w:rsidRDefault="00E82D77" w:rsidP="00A97E61">
      <w:pPr>
        <w:spacing w:line="276" w:lineRule="auto"/>
        <w:jc w:val="center"/>
        <w:rPr>
          <w:b/>
          <w:bCs/>
          <w:color w:val="ED7D31" w:themeColor="accent2"/>
          <w:sz w:val="32"/>
          <w:szCs w:val="36"/>
        </w:rPr>
      </w:pPr>
      <w:r w:rsidRPr="00A97E61">
        <w:rPr>
          <w:rFonts w:hint="eastAsia"/>
          <w:b/>
          <w:bCs/>
          <w:color w:val="ED7D31" w:themeColor="accent2"/>
          <w:sz w:val="32"/>
          <w:szCs w:val="36"/>
        </w:rPr>
        <w:t>关于印发</w:t>
      </w:r>
      <w:r w:rsidRPr="00A97E61">
        <w:rPr>
          <w:b/>
          <w:bCs/>
          <w:color w:val="ED7D31" w:themeColor="accent2"/>
          <w:sz w:val="32"/>
          <w:szCs w:val="36"/>
        </w:rPr>
        <w:t>2020</w:t>
      </w:r>
      <w:r w:rsidRPr="00A97E61">
        <w:rPr>
          <w:b/>
          <w:bCs/>
          <w:color w:val="ED7D31" w:themeColor="accent2"/>
          <w:sz w:val="32"/>
          <w:szCs w:val="36"/>
        </w:rPr>
        <w:t>年国家医疗器械抽检产品检验方案的通知</w:t>
      </w:r>
    </w:p>
    <w:p w14:paraId="3363E1CB" w14:textId="77777777" w:rsidR="00E82D77" w:rsidRDefault="00E82D77" w:rsidP="00A97E61">
      <w:pPr>
        <w:spacing w:line="276" w:lineRule="auto"/>
        <w:jc w:val="center"/>
      </w:pPr>
      <w:r>
        <w:rPr>
          <w:rFonts w:hint="eastAsia"/>
        </w:rPr>
        <w:t>药监综械管〔</w:t>
      </w:r>
      <w:r>
        <w:t>2020</w:t>
      </w:r>
      <w:r>
        <w:t>〕</w:t>
      </w:r>
      <w:r>
        <w:t>46</w:t>
      </w:r>
      <w:r>
        <w:t>号</w:t>
      </w:r>
    </w:p>
    <w:p w14:paraId="3E807907" w14:textId="77777777" w:rsidR="00A97E61" w:rsidRDefault="00A97E61" w:rsidP="00A97E61">
      <w:pPr>
        <w:spacing w:line="276" w:lineRule="auto"/>
      </w:pPr>
    </w:p>
    <w:p w14:paraId="6C5CE0AB" w14:textId="65CB7045" w:rsidR="00E82D77" w:rsidRDefault="00E82D77" w:rsidP="00A97E61">
      <w:pPr>
        <w:spacing w:line="276" w:lineRule="auto"/>
      </w:pPr>
      <w:r>
        <w:rPr>
          <w:rFonts w:hint="eastAsia"/>
        </w:rPr>
        <w:t>各省、自治区、直辖市药品监督管理局，新疆生产建设兵团药品监督管理局，中国食品药品检定研究院、相关检验机构：</w:t>
      </w:r>
    </w:p>
    <w:p w14:paraId="489F0013" w14:textId="77777777" w:rsidR="00A00DF3" w:rsidRDefault="00A00DF3" w:rsidP="00A97E61">
      <w:pPr>
        <w:spacing w:line="276" w:lineRule="auto"/>
      </w:pPr>
    </w:p>
    <w:p w14:paraId="4223E846" w14:textId="77777777" w:rsidR="00E82D77" w:rsidRDefault="00E82D77" w:rsidP="00A97E61">
      <w:pPr>
        <w:spacing w:line="276" w:lineRule="auto"/>
      </w:pPr>
      <w:r>
        <w:rPr>
          <w:rFonts w:hint="eastAsia"/>
        </w:rPr>
        <w:t xml:space="preserve">　　根据《国家药监局综合司关于开展</w:t>
      </w:r>
      <w:r>
        <w:t>2020</w:t>
      </w:r>
      <w:r>
        <w:t>年国家医疗器械监督抽检工作的通知》（药监综械管〔</w:t>
      </w:r>
      <w:r>
        <w:t>2020</w:t>
      </w:r>
      <w:r>
        <w:t>〕</w:t>
      </w:r>
      <w:r>
        <w:t>28</w:t>
      </w:r>
      <w:r>
        <w:t>号），现将</w:t>
      </w:r>
      <w:r>
        <w:t>2020</w:t>
      </w:r>
      <w:r>
        <w:t>年国家医疗器械抽检产品检验方案印发给你们，并将有关要求通知如下：</w:t>
      </w:r>
    </w:p>
    <w:p w14:paraId="76928B7C" w14:textId="77777777" w:rsidR="00E82D77" w:rsidRDefault="00E82D77" w:rsidP="00A97E61">
      <w:pPr>
        <w:spacing w:line="276" w:lineRule="auto"/>
      </w:pPr>
      <w:r>
        <w:rPr>
          <w:rFonts w:hint="eastAsia"/>
        </w:rPr>
        <w:t xml:space="preserve">　　一、检验工作</w:t>
      </w:r>
    </w:p>
    <w:p w14:paraId="6EFE0DE1" w14:textId="77777777" w:rsidR="00E82D77" w:rsidRDefault="00E82D77" w:rsidP="00A97E61">
      <w:pPr>
        <w:spacing w:line="276" w:lineRule="auto"/>
      </w:pPr>
      <w:r>
        <w:rPr>
          <w:rFonts w:hint="eastAsia"/>
        </w:rPr>
        <w:t xml:space="preserve">　　各省、自治区、直辖市药品监督管理局及新疆生产建设兵团药品监督管理局（下简称省局）、中国食品药品检定研究院应当按照《</w:t>
      </w:r>
      <w:r>
        <w:t>2020</w:t>
      </w:r>
      <w:r>
        <w:t>年国家医疗器械抽检（中央补助地方项目）产品检验方案》（附件</w:t>
      </w:r>
      <w:r>
        <w:t>1</w:t>
      </w:r>
      <w:r>
        <w:t>）、《</w:t>
      </w:r>
      <w:r>
        <w:t>2020</w:t>
      </w:r>
      <w:r>
        <w:t>年国家医疗器械抽检（国家级预算项目）产品检验方案》（附件</w:t>
      </w:r>
      <w:r>
        <w:t>2</w:t>
      </w:r>
      <w:r>
        <w:t>）组织相关检验机构按医疗器械强制性标准以及经注册或者备案的产品技术要求（注册产品标准）开展检验工作。</w:t>
      </w:r>
    </w:p>
    <w:p w14:paraId="23675811" w14:textId="77777777" w:rsidR="00E82D77" w:rsidRDefault="00E82D77" w:rsidP="00A97E61">
      <w:pPr>
        <w:spacing w:line="276" w:lineRule="auto"/>
      </w:pPr>
      <w:r>
        <w:rPr>
          <w:rFonts w:hint="eastAsia"/>
        </w:rPr>
        <w:t xml:space="preserve">　　二、复检工作</w:t>
      </w:r>
    </w:p>
    <w:p w14:paraId="4EAA4A3C" w14:textId="77777777" w:rsidR="00E82D77" w:rsidRDefault="00E82D77" w:rsidP="00A97E61">
      <w:pPr>
        <w:spacing w:line="276" w:lineRule="auto"/>
      </w:pPr>
      <w:r>
        <w:rPr>
          <w:rFonts w:hint="eastAsia"/>
        </w:rPr>
        <w:t xml:space="preserve">　　根据《医疗器械质量抽查检验管理办法》第三十二条规定，被抽样单位或者标示医疗器械注册人、备案人或者进口产品代理人对检验结论有异议的，可以自收到检验报告之日起</w:t>
      </w:r>
      <w:r>
        <w:t>7</w:t>
      </w:r>
      <w:r>
        <w:t>个工作日内优先向本方案推荐的复检机构（附件</w:t>
      </w:r>
      <w:r>
        <w:t>3</w:t>
      </w:r>
      <w:r>
        <w:t>）提出复检申请。复检机构应当及时受理复检申请并开展检验工作。逾期提出复检申请的，检验机构不再受理。</w:t>
      </w:r>
    </w:p>
    <w:p w14:paraId="75EEB344" w14:textId="77777777" w:rsidR="00E82D77" w:rsidRDefault="00E82D77" w:rsidP="00A97E61">
      <w:pPr>
        <w:spacing w:line="276" w:lineRule="auto"/>
      </w:pPr>
      <w:r>
        <w:rPr>
          <w:rFonts w:hint="eastAsia"/>
        </w:rPr>
        <w:t xml:space="preserve">　　三、异议申诉工作</w:t>
      </w:r>
    </w:p>
    <w:p w14:paraId="61601EE1" w14:textId="77777777" w:rsidR="00E82D77" w:rsidRDefault="00E82D77" w:rsidP="00A97E61">
      <w:pPr>
        <w:spacing w:line="276" w:lineRule="auto"/>
      </w:pPr>
      <w:r>
        <w:rPr>
          <w:rFonts w:hint="eastAsia"/>
        </w:rPr>
        <w:t xml:space="preserve">　　被抽样单位或者标示医疗器械注册人、备案人或者进口产品代理人对检验方法、判定依据等存在异议，且无法通过复检进行验证的，应当自收到检验报告之日起</w:t>
      </w:r>
      <w:r>
        <w:t>7</w:t>
      </w:r>
      <w:r>
        <w:t>个工作日内，向所在地省局提出异议申诉书面申请，并提交相关证明材料。</w:t>
      </w:r>
    </w:p>
    <w:p w14:paraId="3F8D7C39" w14:textId="77777777" w:rsidR="00E82D77" w:rsidRDefault="00E82D77" w:rsidP="00A97E61">
      <w:pPr>
        <w:spacing w:line="276" w:lineRule="auto"/>
      </w:pPr>
      <w:r>
        <w:rPr>
          <w:rFonts w:hint="eastAsia"/>
        </w:rPr>
        <w:t xml:space="preserve">　　所在地省局应当在收到申请后</w:t>
      </w:r>
      <w:r>
        <w:t>2</w:t>
      </w:r>
      <w:r>
        <w:t>个工作日内，将异议申诉情况填报至国家医疗器械抽检信息系统，并在</w:t>
      </w:r>
      <w:r>
        <w:t>15</w:t>
      </w:r>
      <w:r>
        <w:t>个工作日内进行调查核实、确认核实结果，提出处理建议报中国食品药品检定研究院技术监督中心。相关省局未进行调查审核、未提出核实结果和处理建议的，有关材料将予以退回。逾期未提出异议或者未提供有效证明材料的，视为申请人认可该检验结果。</w:t>
      </w:r>
    </w:p>
    <w:p w14:paraId="31E3726C" w14:textId="77777777" w:rsidR="00E82D77" w:rsidRDefault="00E82D77" w:rsidP="00A97E61">
      <w:pPr>
        <w:spacing w:line="276" w:lineRule="auto"/>
      </w:pPr>
      <w:r>
        <w:rPr>
          <w:rFonts w:hint="eastAsia"/>
        </w:rPr>
        <w:t xml:space="preserve">　　四、其他要求</w:t>
      </w:r>
    </w:p>
    <w:p w14:paraId="7DA9594B" w14:textId="77777777" w:rsidR="00E82D77" w:rsidRDefault="00E82D77" w:rsidP="00A97E61">
      <w:pPr>
        <w:spacing w:line="276" w:lineRule="auto"/>
      </w:pPr>
      <w:r>
        <w:rPr>
          <w:rFonts w:hint="eastAsia"/>
        </w:rPr>
        <w:t xml:space="preserve">　　风险监测产品的检测结果不作为行政处罚和公告依据。医疗器械注册人、备案人应当根据监测提示，主动评估和消除风险，所在地省局应当监督指导。</w:t>
      </w:r>
    </w:p>
    <w:p w14:paraId="64D39E0F" w14:textId="77777777" w:rsidR="00E82D77" w:rsidRDefault="00E82D77" w:rsidP="00A97E61">
      <w:pPr>
        <w:spacing w:line="276" w:lineRule="auto"/>
      </w:pPr>
      <w:r>
        <w:rPr>
          <w:rFonts w:hint="eastAsia"/>
        </w:rPr>
        <w:t xml:space="preserve">　　根据《医疗器械质量抽查检验管理办法》第三十条规定，标示医疗器械注册人、备案人或者进口产品代理人认为所抽样品非其产品的，应当自其收到不符合规定的检验报告之日起</w:t>
      </w:r>
      <w:r>
        <w:t>7</w:t>
      </w:r>
      <w:r>
        <w:t>个工作日内，向其所在地省局提供充分准确的证明材料，所在地省局应当组织调查核实。未能按时提交材料的，视为标示医疗器械注册人、备案人确认所抽样品为其产品。</w:t>
      </w:r>
    </w:p>
    <w:p w14:paraId="2563A38E" w14:textId="77777777" w:rsidR="00E82D77" w:rsidRDefault="00E82D77" w:rsidP="00A97E61">
      <w:pPr>
        <w:spacing w:line="276" w:lineRule="auto"/>
      </w:pPr>
    </w:p>
    <w:p w14:paraId="7A864CF5" w14:textId="1D740DFF" w:rsidR="00E82D77" w:rsidRDefault="00E82D77" w:rsidP="00A97E61">
      <w:pPr>
        <w:spacing w:line="276" w:lineRule="auto"/>
      </w:pPr>
      <w:r>
        <w:rPr>
          <w:rFonts w:hint="eastAsia"/>
        </w:rPr>
        <w:t xml:space="preserve">　　附件：</w:t>
      </w:r>
      <w:hyperlink r:id="rId6" w:history="1">
        <w:r w:rsidRPr="00CA4EBF">
          <w:rPr>
            <w:rStyle w:val="a7"/>
          </w:rPr>
          <w:t>1.2020</w:t>
        </w:r>
        <w:r w:rsidRPr="00CA4EBF">
          <w:rPr>
            <w:rStyle w:val="a7"/>
          </w:rPr>
          <w:t>年国家医疗器械抽检（中央补助地方项目）产品检验方案</w:t>
        </w:r>
      </w:hyperlink>
    </w:p>
    <w:p w14:paraId="0D43530F" w14:textId="2D8D3441" w:rsidR="00E82D77" w:rsidRDefault="00E82D77" w:rsidP="00A97E61">
      <w:pPr>
        <w:spacing w:line="276" w:lineRule="auto"/>
      </w:pPr>
      <w:r>
        <w:rPr>
          <w:rFonts w:hint="eastAsia"/>
        </w:rPr>
        <w:t xml:space="preserve">　　　　　</w:t>
      </w:r>
      <w:hyperlink r:id="rId7" w:history="1">
        <w:r w:rsidRPr="00CA4EBF">
          <w:rPr>
            <w:rStyle w:val="a7"/>
          </w:rPr>
          <w:t>2.2020</w:t>
        </w:r>
        <w:r w:rsidRPr="00CA4EBF">
          <w:rPr>
            <w:rStyle w:val="a7"/>
          </w:rPr>
          <w:t>年国家医疗器械抽检（国家级预算项目）产品检验方案</w:t>
        </w:r>
      </w:hyperlink>
    </w:p>
    <w:p w14:paraId="6AD62A42" w14:textId="38C24776" w:rsidR="00E82D77" w:rsidRDefault="00E82D77" w:rsidP="00A97E61">
      <w:pPr>
        <w:spacing w:line="276" w:lineRule="auto"/>
      </w:pPr>
      <w:r>
        <w:rPr>
          <w:rFonts w:hint="eastAsia"/>
        </w:rPr>
        <w:t xml:space="preserve">　　　　　</w:t>
      </w:r>
      <w:hyperlink r:id="rId8" w:history="1">
        <w:r w:rsidRPr="00CA4EBF">
          <w:rPr>
            <w:rStyle w:val="a7"/>
          </w:rPr>
          <w:t>3.2020</w:t>
        </w:r>
        <w:r w:rsidRPr="00CA4EBF">
          <w:rPr>
            <w:rStyle w:val="a7"/>
          </w:rPr>
          <w:t>年国家医疗器械抽检复检机构推荐名单</w:t>
        </w:r>
      </w:hyperlink>
    </w:p>
    <w:p w14:paraId="35200E94" w14:textId="77777777" w:rsidR="00E82D77" w:rsidRDefault="00E82D77" w:rsidP="00A97E61">
      <w:pPr>
        <w:spacing w:line="276" w:lineRule="auto"/>
      </w:pPr>
    </w:p>
    <w:p w14:paraId="29DC0D1F" w14:textId="77777777" w:rsidR="00E82D77" w:rsidRDefault="00E82D77" w:rsidP="009C600B">
      <w:pPr>
        <w:spacing w:line="276" w:lineRule="auto"/>
        <w:jc w:val="right"/>
      </w:pPr>
      <w:r>
        <w:rPr>
          <w:rFonts w:hint="eastAsia"/>
        </w:rPr>
        <w:lastRenderedPageBreak/>
        <w:t>国家药监局综合司</w:t>
      </w:r>
    </w:p>
    <w:p w14:paraId="79F0316E" w14:textId="77777777" w:rsidR="00E82D77" w:rsidRDefault="00E82D77" w:rsidP="009C600B">
      <w:pPr>
        <w:spacing w:line="276" w:lineRule="auto"/>
        <w:jc w:val="right"/>
      </w:pPr>
      <w:r>
        <w:t>2020</w:t>
      </w:r>
      <w:r>
        <w:t>年</w:t>
      </w:r>
      <w:r>
        <w:t>5</w:t>
      </w:r>
      <w:r>
        <w:t>月</w:t>
      </w:r>
      <w:r>
        <w:t>11</w:t>
      </w:r>
      <w:r>
        <w:t>日</w:t>
      </w:r>
    </w:p>
    <w:p w14:paraId="0EA53AA1" w14:textId="77777777" w:rsidR="00E82D77" w:rsidRDefault="00E82D77" w:rsidP="00A97E61">
      <w:pPr>
        <w:spacing w:line="276" w:lineRule="auto"/>
      </w:pPr>
    </w:p>
    <w:p w14:paraId="39900A3C" w14:textId="65E57E0E" w:rsidR="00E82D77" w:rsidRDefault="00E82D77" w:rsidP="00A97E61">
      <w:pPr>
        <w:spacing w:line="276" w:lineRule="auto"/>
      </w:pPr>
    </w:p>
    <w:p w14:paraId="3021CC42" w14:textId="04E88383" w:rsidR="00E82D77" w:rsidRDefault="00E82D77" w:rsidP="00A97E61">
      <w:pPr>
        <w:spacing w:line="276" w:lineRule="auto"/>
        <w:rPr>
          <w:rStyle w:val="a7"/>
        </w:rPr>
      </w:pPr>
      <w:r>
        <w:rPr>
          <w:rFonts w:hint="eastAsia"/>
        </w:rPr>
        <w:t>信息来源：</w:t>
      </w:r>
      <w:hyperlink r:id="rId9" w:history="1">
        <w:r>
          <w:rPr>
            <w:rStyle w:val="a7"/>
          </w:rPr>
          <w:t>http://www.nmpa.gov.cn/WS04/CL2197/377389.html</w:t>
        </w:r>
      </w:hyperlink>
    </w:p>
    <w:p w14:paraId="6709DEA7" w14:textId="77777777" w:rsidR="000602EC" w:rsidRDefault="000602EC" w:rsidP="00A97E61">
      <w:pPr>
        <w:spacing w:line="276" w:lineRule="auto"/>
      </w:pPr>
    </w:p>
    <w:sectPr w:rsidR="000602EC" w:rsidSect="000602EC">
      <w:pgSz w:w="11906" w:h="16838"/>
      <w:pgMar w:top="1418"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1C06B" w14:textId="77777777" w:rsidR="001E3624" w:rsidRDefault="001E3624" w:rsidP="00E82D77">
      <w:r>
        <w:separator/>
      </w:r>
    </w:p>
  </w:endnote>
  <w:endnote w:type="continuationSeparator" w:id="0">
    <w:p w14:paraId="7ABFDAE9" w14:textId="77777777" w:rsidR="001E3624" w:rsidRDefault="001E3624" w:rsidP="00E8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29FA1" w14:textId="77777777" w:rsidR="001E3624" w:rsidRDefault="001E3624" w:rsidP="00E82D77">
      <w:r>
        <w:separator/>
      </w:r>
    </w:p>
  </w:footnote>
  <w:footnote w:type="continuationSeparator" w:id="0">
    <w:p w14:paraId="509C6E6A" w14:textId="77777777" w:rsidR="001E3624" w:rsidRDefault="001E3624" w:rsidP="00E82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BD"/>
    <w:rsid w:val="000602EC"/>
    <w:rsid w:val="001E3624"/>
    <w:rsid w:val="002E3FD9"/>
    <w:rsid w:val="006F4CF2"/>
    <w:rsid w:val="009C600B"/>
    <w:rsid w:val="00A00DF3"/>
    <w:rsid w:val="00A97E61"/>
    <w:rsid w:val="00CA4EBF"/>
    <w:rsid w:val="00CD78BD"/>
    <w:rsid w:val="00E82D77"/>
    <w:rsid w:val="00E8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DB207"/>
  <w15:chartTrackingRefBased/>
  <w15:docId w15:val="{EEF5A001-8665-42D0-A2BB-B14C5110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E61"/>
    <w:pPr>
      <w:widowControl w:val="0"/>
      <w:jc w:val="both"/>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82D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2D77"/>
    <w:rPr>
      <w:sz w:val="18"/>
      <w:szCs w:val="18"/>
    </w:rPr>
  </w:style>
  <w:style w:type="paragraph" w:styleId="a5">
    <w:name w:val="footer"/>
    <w:basedOn w:val="a"/>
    <w:link w:val="a6"/>
    <w:uiPriority w:val="99"/>
    <w:unhideWhenUsed/>
    <w:rsid w:val="00E82D77"/>
    <w:pPr>
      <w:tabs>
        <w:tab w:val="center" w:pos="4153"/>
        <w:tab w:val="right" w:pos="8306"/>
      </w:tabs>
      <w:snapToGrid w:val="0"/>
      <w:jc w:val="left"/>
    </w:pPr>
    <w:rPr>
      <w:sz w:val="18"/>
      <w:szCs w:val="18"/>
    </w:rPr>
  </w:style>
  <w:style w:type="character" w:customStyle="1" w:styleId="a6">
    <w:name w:val="页脚 字符"/>
    <w:basedOn w:val="a0"/>
    <w:link w:val="a5"/>
    <w:uiPriority w:val="99"/>
    <w:rsid w:val="00E82D77"/>
    <w:rPr>
      <w:sz w:val="18"/>
      <w:szCs w:val="18"/>
    </w:rPr>
  </w:style>
  <w:style w:type="character" w:styleId="a7">
    <w:name w:val="Hyperlink"/>
    <w:basedOn w:val="a0"/>
    <w:uiPriority w:val="99"/>
    <w:unhideWhenUsed/>
    <w:rsid w:val="00E82D77"/>
    <w:rPr>
      <w:color w:val="0000FF"/>
      <w:u w:val="single"/>
    </w:rPr>
  </w:style>
  <w:style w:type="character" w:styleId="a8">
    <w:name w:val="page number"/>
    <w:basedOn w:val="a0"/>
    <w:rsid w:val="006F4CF2"/>
  </w:style>
  <w:style w:type="character" w:customStyle="1" w:styleId="Char">
    <w:name w:val="页脚 Char"/>
    <w:uiPriority w:val="99"/>
    <w:rsid w:val="006F4CF2"/>
    <w:rPr>
      <w:kern w:val="2"/>
      <w:sz w:val="18"/>
      <w:szCs w:val="18"/>
    </w:rPr>
  </w:style>
  <w:style w:type="paragraph" w:styleId="a9">
    <w:name w:val="Balloon Text"/>
    <w:basedOn w:val="a"/>
    <w:link w:val="aa"/>
    <w:semiHidden/>
    <w:rsid w:val="006F4CF2"/>
    <w:rPr>
      <w:rFonts w:ascii="Times New Roman" w:hAnsi="Times New Roman" w:cs="Times New Roman"/>
      <w:sz w:val="18"/>
      <w:szCs w:val="18"/>
    </w:rPr>
  </w:style>
  <w:style w:type="character" w:customStyle="1" w:styleId="aa">
    <w:name w:val="批注框文本 字符"/>
    <w:basedOn w:val="a0"/>
    <w:link w:val="a9"/>
    <w:semiHidden/>
    <w:rsid w:val="006F4CF2"/>
    <w:rPr>
      <w:rFonts w:ascii="Times New Roman" w:eastAsia="宋体" w:hAnsi="Times New Roman" w:cs="Times New Roman"/>
      <w:sz w:val="18"/>
      <w:szCs w:val="18"/>
    </w:rPr>
  </w:style>
  <w:style w:type="paragraph" w:styleId="ab">
    <w:name w:val="annotation text"/>
    <w:basedOn w:val="a"/>
    <w:link w:val="ac"/>
    <w:uiPriority w:val="99"/>
    <w:qFormat/>
    <w:rsid w:val="006F4CF2"/>
    <w:pPr>
      <w:jc w:val="left"/>
    </w:pPr>
    <w:rPr>
      <w:rFonts w:ascii="Times New Roman" w:hAnsi="Times New Roman" w:cs="Times New Roman"/>
      <w:szCs w:val="24"/>
    </w:rPr>
  </w:style>
  <w:style w:type="character" w:customStyle="1" w:styleId="ac">
    <w:name w:val="批注文字 字符"/>
    <w:basedOn w:val="a0"/>
    <w:link w:val="ab"/>
    <w:uiPriority w:val="99"/>
    <w:rsid w:val="006F4CF2"/>
    <w:rPr>
      <w:rFonts w:ascii="Times New Roman" w:eastAsia="宋体" w:hAnsi="Times New Roman" w:cs="Times New Roman"/>
      <w:szCs w:val="24"/>
    </w:rPr>
  </w:style>
  <w:style w:type="paragraph" w:styleId="ad">
    <w:name w:val="Document Map"/>
    <w:basedOn w:val="a"/>
    <w:link w:val="ae"/>
    <w:semiHidden/>
    <w:rsid w:val="006F4CF2"/>
    <w:pPr>
      <w:shd w:val="clear" w:color="auto" w:fill="000080"/>
    </w:pPr>
    <w:rPr>
      <w:rFonts w:ascii="Times New Roman" w:hAnsi="Times New Roman" w:cs="Times New Roman"/>
      <w:szCs w:val="24"/>
    </w:rPr>
  </w:style>
  <w:style w:type="character" w:customStyle="1" w:styleId="ae">
    <w:name w:val="文档结构图 字符"/>
    <w:basedOn w:val="a0"/>
    <w:link w:val="ad"/>
    <w:semiHidden/>
    <w:rsid w:val="006F4CF2"/>
    <w:rPr>
      <w:rFonts w:ascii="Times New Roman" w:eastAsia="宋体" w:hAnsi="Times New Roman" w:cs="Times New Roman"/>
      <w:szCs w:val="24"/>
      <w:shd w:val="clear" w:color="auto" w:fill="000080"/>
    </w:rPr>
  </w:style>
  <w:style w:type="paragraph" w:customStyle="1" w:styleId="msonormal01">
    <w:name w:val="msonormal01"/>
    <w:basedOn w:val="a"/>
    <w:qFormat/>
    <w:rsid w:val="006F4CF2"/>
    <w:rPr>
      <w:rFonts w:ascii="黑体" w:eastAsia="黑体" w:hAnsi="黑体" w:cs="Times New Roman"/>
      <w:szCs w:val="24"/>
    </w:rPr>
  </w:style>
  <w:style w:type="character" w:styleId="af">
    <w:name w:val="FollowedHyperlink"/>
    <w:basedOn w:val="a0"/>
    <w:uiPriority w:val="99"/>
    <w:semiHidden/>
    <w:unhideWhenUsed/>
    <w:rsid w:val="002E3FD9"/>
    <w:rPr>
      <w:color w:val="954F72" w:themeColor="followedHyperlink"/>
      <w:u w:val="single"/>
    </w:rPr>
  </w:style>
  <w:style w:type="character" w:styleId="af0">
    <w:name w:val="Unresolved Mention"/>
    <w:basedOn w:val="a0"/>
    <w:uiPriority w:val="99"/>
    <w:semiHidden/>
    <w:unhideWhenUsed/>
    <w:rsid w:val="00CA4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9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um.hhp.com.cn/newlaw/20200515008_03.docx" TargetMode="External"/><Relationship Id="rId3" Type="http://schemas.openxmlformats.org/officeDocument/2006/relationships/webSettings" Target="webSettings.xml"/><Relationship Id="rId7" Type="http://schemas.openxmlformats.org/officeDocument/2006/relationships/hyperlink" Target="http://centrum.hhp.com.cn/newlaw/20200515008_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515008_01.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mpa.gov.cn/WS04/CL2197/37738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2020-05-14T09:47:00Z</dcterms:created>
  <dcterms:modified xsi:type="dcterms:W3CDTF">2020-05-15T07:33:00Z</dcterms:modified>
</cp:coreProperties>
</file>