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69B93" w14:textId="77018FEE" w:rsidR="00A2756D" w:rsidRPr="003460AF" w:rsidRDefault="00A2756D" w:rsidP="00B230B7">
      <w:pPr>
        <w:pStyle w:val="AD"/>
        <w:spacing w:line="276" w:lineRule="auto"/>
        <w:jc w:val="center"/>
        <w:rPr>
          <w:b/>
          <w:bCs/>
          <w:color w:val="E36C0A" w:themeColor="accent6" w:themeShade="BF"/>
          <w:sz w:val="32"/>
          <w:szCs w:val="32"/>
        </w:rPr>
      </w:pPr>
      <w:r w:rsidRPr="003460AF">
        <w:rPr>
          <w:rFonts w:hint="eastAsia"/>
          <w:b/>
          <w:bCs/>
          <w:color w:val="E36C0A" w:themeColor="accent6" w:themeShade="BF"/>
          <w:sz w:val="32"/>
          <w:szCs w:val="32"/>
        </w:rPr>
        <w:t>关于金融资产投资公司开展资产管理业务有关事项的通知</w:t>
      </w:r>
    </w:p>
    <w:p w14:paraId="0E6B2322" w14:textId="7ABD0D05" w:rsidR="00A2756D" w:rsidRDefault="00A2756D" w:rsidP="00B230B7">
      <w:pPr>
        <w:pStyle w:val="AD"/>
        <w:spacing w:line="276" w:lineRule="auto"/>
        <w:jc w:val="center"/>
      </w:pPr>
      <w:r>
        <w:rPr>
          <w:rFonts w:hint="eastAsia"/>
        </w:rPr>
        <w:t>银保监发〔</w:t>
      </w:r>
      <w:r>
        <w:rPr>
          <w:rFonts w:hint="eastAsia"/>
        </w:rPr>
        <w:t>2020</w:t>
      </w:r>
      <w:r>
        <w:rPr>
          <w:rFonts w:hint="eastAsia"/>
        </w:rPr>
        <w:t>〕</w:t>
      </w:r>
      <w:r>
        <w:rPr>
          <w:rFonts w:hint="eastAsia"/>
        </w:rPr>
        <w:t>12</w:t>
      </w:r>
      <w:r>
        <w:rPr>
          <w:rFonts w:hint="eastAsia"/>
        </w:rPr>
        <w:t>号</w:t>
      </w:r>
    </w:p>
    <w:p w14:paraId="45E4C954" w14:textId="77777777" w:rsidR="00A2756D" w:rsidRDefault="00A2756D" w:rsidP="00B230B7">
      <w:pPr>
        <w:pStyle w:val="AD"/>
        <w:spacing w:line="276" w:lineRule="auto"/>
      </w:pPr>
    </w:p>
    <w:p w14:paraId="750C69BD" w14:textId="77777777" w:rsidR="00A2756D" w:rsidRDefault="00A2756D" w:rsidP="00B230B7">
      <w:pPr>
        <w:pStyle w:val="AD"/>
        <w:spacing w:line="276" w:lineRule="auto"/>
      </w:pPr>
      <w:r>
        <w:rPr>
          <w:rFonts w:hint="eastAsia"/>
        </w:rPr>
        <w:t>各银保监局，各政策性银行、大型银行、股份制银行，外资银行，各保险集团（控股）公司、保险公司，银行业理财登记托管中心：</w:t>
      </w:r>
    </w:p>
    <w:p w14:paraId="784169C6" w14:textId="77777777" w:rsidR="00A2756D" w:rsidRDefault="00A2756D" w:rsidP="00B230B7">
      <w:pPr>
        <w:pStyle w:val="AD"/>
        <w:spacing w:line="276" w:lineRule="auto"/>
      </w:pPr>
    </w:p>
    <w:p w14:paraId="0083C359" w14:textId="77777777" w:rsidR="00A2756D" w:rsidRDefault="00A2756D" w:rsidP="00B230B7">
      <w:pPr>
        <w:pStyle w:val="AD"/>
        <w:spacing w:line="276" w:lineRule="auto"/>
      </w:pPr>
      <w:r>
        <w:rPr>
          <w:rFonts w:hint="eastAsia"/>
        </w:rPr>
        <w:t>为促进市场化债转股健康发展，规范金融资产投资公司资产管理业务，依法保护投资者合法权益，按照《国务院关于积极稳妥降低企业杠杆率的意见》（国发〔</w:t>
      </w:r>
      <w:r>
        <w:rPr>
          <w:rFonts w:hint="eastAsia"/>
        </w:rPr>
        <w:t>2016</w:t>
      </w:r>
      <w:r>
        <w:rPr>
          <w:rFonts w:hint="eastAsia"/>
        </w:rPr>
        <w:t>〕</w:t>
      </w:r>
      <w:r>
        <w:rPr>
          <w:rFonts w:hint="eastAsia"/>
        </w:rPr>
        <w:t>54</w:t>
      </w:r>
      <w:r>
        <w:rPr>
          <w:rFonts w:hint="eastAsia"/>
        </w:rPr>
        <w:t>号）、《关于规范金融机构资产管理业务的指导意见》（银发〔</w:t>
      </w:r>
      <w:r>
        <w:rPr>
          <w:rFonts w:hint="eastAsia"/>
        </w:rPr>
        <w:t>2018</w:t>
      </w:r>
      <w:r>
        <w:rPr>
          <w:rFonts w:hint="eastAsia"/>
        </w:rPr>
        <w:t>〕</w:t>
      </w:r>
      <w:r>
        <w:rPr>
          <w:rFonts w:hint="eastAsia"/>
        </w:rPr>
        <w:t>106</w:t>
      </w:r>
      <w:r>
        <w:rPr>
          <w:rFonts w:hint="eastAsia"/>
        </w:rPr>
        <w:t>号）、《金融资产投资公司管理办法（试行）》（中国银行保险监督管理委员会令</w:t>
      </w:r>
      <w:r>
        <w:rPr>
          <w:rFonts w:hint="eastAsia"/>
        </w:rPr>
        <w:t>2018</w:t>
      </w:r>
      <w:r>
        <w:rPr>
          <w:rFonts w:hint="eastAsia"/>
        </w:rPr>
        <w:t>年第</w:t>
      </w:r>
      <w:r>
        <w:rPr>
          <w:rFonts w:hint="eastAsia"/>
        </w:rPr>
        <w:t>4</w:t>
      </w:r>
      <w:r>
        <w:rPr>
          <w:rFonts w:hint="eastAsia"/>
        </w:rPr>
        <w:t>号）等相关规定，现就金融资产投资公司开展资产管理业务的有关事项通知如下：</w:t>
      </w:r>
    </w:p>
    <w:p w14:paraId="59E9EEE5" w14:textId="77777777" w:rsidR="00A2756D" w:rsidRDefault="00A2756D" w:rsidP="00B230B7">
      <w:pPr>
        <w:pStyle w:val="AD"/>
        <w:spacing w:line="276" w:lineRule="auto"/>
      </w:pPr>
    </w:p>
    <w:p w14:paraId="7E7E9E8E" w14:textId="77777777" w:rsidR="00A2756D" w:rsidRDefault="00A2756D" w:rsidP="00B230B7">
      <w:pPr>
        <w:pStyle w:val="AD"/>
        <w:spacing w:line="276" w:lineRule="auto"/>
      </w:pPr>
      <w:r>
        <w:rPr>
          <w:rFonts w:hint="eastAsia"/>
        </w:rPr>
        <w:t>一、总体要求</w:t>
      </w:r>
    </w:p>
    <w:p w14:paraId="5A95B14F" w14:textId="77777777" w:rsidR="00A2756D" w:rsidRDefault="00A2756D" w:rsidP="00B230B7">
      <w:pPr>
        <w:pStyle w:val="AD"/>
        <w:spacing w:line="276" w:lineRule="auto"/>
      </w:pPr>
    </w:p>
    <w:p w14:paraId="3BC00A20" w14:textId="77777777" w:rsidR="00A2756D" w:rsidRDefault="00A2756D" w:rsidP="00B230B7">
      <w:pPr>
        <w:pStyle w:val="AD"/>
        <w:spacing w:line="276" w:lineRule="auto"/>
      </w:pPr>
      <w:r>
        <w:rPr>
          <w:rFonts w:hint="eastAsia"/>
        </w:rPr>
        <w:t>（一）金融资产投资公司开展资产管理业务，是指其接受投资者委托，设立债转股投资计划并担任管理人，依照法律法规和债转股投资计划合同的约定，对受托的投资者财产进行投资和管理。债转股投资计划应当主要投资于市场化债转股资产，包括以实现市场化债转股为目的的债权、可转换债券、债转股专项债券、普通股、优先股、债转优先股等资产。</w:t>
      </w:r>
    </w:p>
    <w:p w14:paraId="51515314" w14:textId="77777777" w:rsidR="00A2756D" w:rsidRDefault="00A2756D" w:rsidP="00B230B7">
      <w:pPr>
        <w:pStyle w:val="AD"/>
        <w:spacing w:line="276" w:lineRule="auto"/>
      </w:pPr>
    </w:p>
    <w:p w14:paraId="37ECFDDC" w14:textId="77777777" w:rsidR="00A2756D" w:rsidRDefault="00A2756D" w:rsidP="00B230B7">
      <w:pPr>
        <w:pStyle w:val="AD"/>
        <w:spacing w:line="276" w:lineRule="auto"/>
      </w:pPr>
      <w:r>
        <w:rPr>
          <w:rFonts w:hint="eastAsia"/>
        </w:rPr>
        <w:t>（二）金融资产投资公司开展资产管理业务，应当遵守成本可算、风险可控、信息充分披露的原则，诚实守信、勤勉尽职地履行职责，按照约定条件和实际投资收益情况向投资者支付收益、不保证本金支付和收益水平，投资者自担投资风险并获得收益。</w:t>
      </w:r>
    </w:p>
    <w:p w14:paraId="19D3A15D" w14:textId="77777777" w:rsidR="00A2756D" w:rsidRDefault="00A2756D" w:rsidP="00B230B7">
      <w:pPr>
        <w:pStyle w:val="AD"/>
        <w:spacing w:line="276" w:lineRule="auto"/>
      </w:pPr>
    </w:p>
    <w:p w14:paraId="66E2285A" w14:textId="77777777" w:rsidR="00A2756D" w:rsidRDefault="00A2756D" w:rsidP="00B230B7">
      <w:pPr>
        <w:pStyle w:val="AD"/>
        <w:spacing w:line="276" w:lineRule="auto"/>
      </w:pPr>
      <w:r>
        <w:rPr>
          <w:rFonts w:hint="eastAsia"/>
        </w:rPr>
        <w:t>（三）债转股投资计划财产独立于管理人、托管机构的自有资产，因债转股投资计划财产的管理、运用、处分或者其他情形而取得的财产，均归入债转股投资计划财产。债转股投资计划管理人、托管机构因依法解散、被依法撤销或者被依法宣告破产等原因进行清算的，债转股投资计划财产不属于其清算财产。债转股投资计划管理人管理、运用和处分债转股投资计划财产所产生的债权，不得与管理人、托管机构的自有债务相抵销；管理人管理、运用和处分不同债转股投资计划财产所产生的债权债务，不得相互抵销。</w:t>
      </w:r>
    </w:p>
    <w:p w14:paraId="0D32EE0C" w14:textId="77777777" w:rsidR="00A2756D" w:rsidRDefault="00A2756D" w:rsidP="00B230B7">
      <w:pPr>
        <w:pStyle w:val="AD"/>
        <w:spacing w:line="276" w:lineRule="auto"/>
      </w:pPr>
    </w:p>
    <w:p w14:paraId="75E304AB" w14:textId="77777777" w:rsidR="00A2756D" w:rsidRDefault="00A2756D" w:rsidP="00B230B7">
      <w:pPr>
        <w:pStyle w:val="AD"/>
        <w:spacing w:line="276" w:lineRule="auto"/>
      </w:pPr>
      <w:r>
        <w:rPr>
          <w:rFonts w:hint="eastAsia"/>
        </w:rPr>
        <w:t>（四）金融资产投资公司债转股投资计划可以依法申请登记成为债转股标的公司股东。</w:t>
      </w:r>
    </w:p>
    <w:p w14:paraId="21370ACF" w14:textId="77777777" w:rsidR="00A2756D" w:rsidRDefault="00A2756D" w:rsidP="00B230B7">
      <w:pPr>
        <w:pStyle w:val="AD"/>
        <w:spacing w:line="276" w:lineRule="auto"/>
      </w:pPr>
    </w:p>
    <w:p w14:paraId="57A6763F" w14:textId="77777777" w:rsidR="00A2756D" w:rsidRDefault="00A2756D" w:rsidP="00B230B7">
      <w:pPr>
        <w:pStyle w:val="AD"/>
        <w:spacing w:line="276" w:lineRule="auto"/>
      </w:pPr>
      <w:r>
        <w:rPr>
          <w:rFonts w:hint="eastAsia"/>
        </w:rPr>
        <w:t>（五）中国银保监会及其派出机构依法对金融资产投资公司资产管理业务活动实施监督管理。</w:t>
      </w:r>
    </w:p>
    <w:p w14:paraId="281340EE" w14:textId="77777777" w:rsidR="00A2756D" w:rsidRDefault="00A2756D" w:rsidP="00B230B7">
      <w:pPr>
        <w:pStyle w:val="AD"/>
        <w:spacing w:line="276" w:lineRule="auto"/>
      </w:pPr>
    </w:p>
    <w:p w14:paraId="05AEAF79" w14:textId="77777777" w:rsidR="00A2756D" w:rsidRDefault="00A2756D" w:rsidP="00B230B7">
      <w:pPr>
        <w:pStyle w:val="AD"/>
        <w:spacing w:line="276" w:lineRule="auto"/>
      </w:pPr>
      <w:r>
        <w:rPr>
          <w:rFonts w:hint="eastAsia"/>
        </w:rPr>
        <w:t>二、资金募集</w:t>
      </w:r>
    </w:p>
    <w:p w14:paraId="198E739A" w14:textId="77777777" w:rsidR="00A2756D" w:rsidRDefault="00A2756D" w:rsidP="00B230B7">
      <w:pPr>
        <w:pStyle w:val="AD"/>
        <w:spacing w:line="276" w:lineRule="auto"/>
      </w:pPr>
    </w:p>
    <w:p w14:paraId="08F588BB" w14:textId="77777777" w:rsidR="00A2756D" w:rsidRDefault="00A2756D" w:rsidP="00B230B7">
      <w:pPr>
        <w:pStyle w:val="AD"/>
        <w:spacing w:line="276" w:lineRule="auto"/>
      </w:pPr>
      <w:r>
        <w:rPr>
          <w:rFonts w:hint="eastAsia"/>
        </w:rPr>
        <w:t>（六）金融资产投资公司应当通过非公开方式向合格投资者发行债转股投资计划，并加强投资者适当性管理。合格投资者为具备与债转股投资计划相适应的风险识别能力和风险承担能力，并符合下列条件的自然人、法人或者其他组织：</w:t>
      </w:r>
    </w:p>
    <w:p w14:paraId="4E8B20BC" w14:textId="77777777" w:rsidR="00A2756D" w:rsidRDefault="00A2756D" w:rsidP="00B230B7">
      <w:pPr>
        <w:pStyle w:val="AD"/>
        <w:spacing w:line="276" w:lineRule="auto"/>
      </w:pPr>
    </w:p>
    <w:p w14:paraId="4A73ABFB" w14:textId="77777777" w:rsidR="00A2756D" w:rsidRDefault="00A2756D" w:rsidP="00B230B7">
      <w:pPr>
        <w:pStyle w:val="AD"/>
        <w:spacing w:line="276" w:lineRule="auto"/>
      </w:pPr>
      <w:r>
        <w:rPr>
          <w:rFonts w:hint="eastAsia"/>
        </w:rPr>
        <w:t>1.</w:t>
      </w:r>
      <w:r>
        <w:rPr>
          <w:rFonts w:hint="eastAsia"/>
        </w:rPr>
        <w:t>具有</w:t>
      </w:r>
      <w:r>
        <w:rPr>
          <w:rFonts w:hint="eastAsia"/>
        </w:rPr>
        <w:t>4</w:t>
      </w:r>
      <w:r>
        <w:rPr>
          <w:rFonts w:hint="eastAsia"/>
        </w:rPr>
        <w:t>年以上投资经历，且满足下列条件之一：家庭金融净资产不低于</w:t>
      </w:r>
      <w:r>
        <w:rPr>
          <w:rFonts w:hint="eastAsia"/>
        </w:rPr>
        <w:t>500</w:t>
      </w:r>
      <w:r>
        <w:rPr>
          <w:rFonts w:hint="eastAsia"/>
        </w:rPr>
        <w:t>万元，或者家庭金融资产不低于</w:t>
      </w:r>
      <w:r>
        <w:rPr>
          <w:rFonts w:hint="eastAsia"/>
        </w:rPr>
        <w:t>800</w:t>
      </w:r>
      <w:r>
        <w:rPr>
          <w:rFonts w:hint="eastAsia"/>
        </w:rPr>
        <w:t>万元，或者近</w:t>
      </w:r>
      <w:r>
        <w:rPr>
          <w:rFonts w:hint="eastAsia"/>
        </w:rPr>
        <w:t>3</w:t>
      </w:r>
      <w:r>
        <w:rPr>
          <w:rFonts w:hint="eastAsia"/>
        </w:rPr>
        <w:t>年本人年均收入不低于</w:t>
      </w:r>
      <w:r>
        <w:rPr>
          <w:rFonts w:hint="eastAsia"/>
        </w:rPr>
        <w:t>60</w:t>
      </w:r>
      <w:r>
        <w:rPr>
          <w:rFonts w:hint="eastAsia"/>
        </w:rPr>
        <w:t>万元。</w:t>
      </w:r>
    </w:p>
    <w:p w14:paraId="5299944C" w14:textId="77777777" w:rsidR="00A2756D" w:rsidRDefault="00A2756D" w:rsidP="00B230B7">
      <w:pPr>
        <w:pStyle w:val="AD"/>
        <w:spacing w:line="276" w:lineRule="auto"/>
      </w:pPr>
    </w:p>
    <w:p w14:paraId="68DB18D3" w14:textId="77777777" w:rsidR="00A2756D" w:rsidRDefault="00A2756D" w:rsidP="00B230B7">
      <w:pPr>
        <w:pStyle w:val="AD"/>
        <w:spacing w:line="276" w:lineRule="auto"/>
      </w:pPr>
      <w:r>
        <w:rPr>
          <w:rFonts w:hint="eastAsia"/>
        </w:rPr>
        <w:t>2.</w:t>
      </w:r>
      <w:r>
        <w:rPr>
          <w:rFonts w:hint="eastAsia"/>
        </w:rPr>
        <w:t>最近</w:t>
      </w:r>
      <w:r>
        <w:rPr>
          <w:rFonts w:hint="eastAsia"/>
        </w:rPr>
        <w:t>1</w:t>
      </w:r>
      <w:r>
        <w:rPr>
          <w:rFonts w:hint="eastAsia"/>
        </w:rPr>
        <w:t>年末净资产不低于</w:t>
      </w:r>
      <w:r>
        <w:rPr>
          <w:rFonts w:hint="eastAsia"/>
        </w:rPr>
        <w:t>2000</w:t>
      </w:r>
      <w:r>
        <w:rPr>
          <w:rFonts w:hint="eastAsia"/>
        </w:rPr>
        <w:t>万元的法人单位。</w:t>
      </w:r>
    </w:p>
    <w:p w14:paraId="3854421A" w14:textId="77777777" w:rsidR="00A2756D" w:rsidRDefault="00A2756D" w:rsidP="00B230B7">
      <w:pPr>
        <w:pStyle w:val="AD"/>
        <w:spacing w:line="276" w:lineRule="auto"/>
      </w:pPr>
    </w:p>
    <w:p w14:paraId="1378A50F" w14:textId="77777777" w:rsidR="00A2756D" w:rsidRDefault="00A2756D" w:rsidP="00B230B7">
      <w:pPr>
        <w:pStyle w:val="AD"/>
        <w:spacing w:line="276" w:lineRule="auto"/>
      </w:pPr>
      <w:r>
        <w:rPr>
          <w:rFonts w:hint="eastAsia"/>
        </w:rPr>
        <w:t>3.</w:t>
      </w:r>
      <w:r>
        <w:rPr>
          <w:rFonts w:hint="eastAsia"/>
        </w:rPr>
        <w:t>中国银保监会视为合格投资者的其他情形。</w:t>
      </w:r>
    </w:p>
    <w:p w14:paraId="1660DA1D" w14:textId="77777777" w:rsidR="00A2756D" w:rsidRDefault="00A2756D" w:rsidP="00B230B7">
      <w:pPr>
        <w:pStyle w:val="AD"/>
        <w:spacing w:line="276" w:lineRule="auto"/>
      </w:pPr>
    </w:p>
    <w:p w14:paraId="1C9C3DB7" w14:textId="77777777" w:rsidR="00A2756D" w:rsidRDefault="00A2756D" w:rsidP="00B230B7">
      <w:pPr>
        <w:pStyle w:val="AD"/>
        <w:spacing w:line="276" w:lineRule="auto"/>
      </w:pPr>
      <w:r>
        <w:rPr>
          <w:rFonts w:hint="eastAsia"/>
        </w:rPr>
        <w:t>合格投资者投资单只债转股投资计划的金额不低于</w:t>
      </w:r>
      <w:r>
        <w:rPr>
          <w:rFonts w:hint="eastAsia"/>
        </w:rPr>
        <w:t>300</w:t>
      </w:r>
      <w:r>
        <w:rPr>
          <w:rFonts w:hint="eastAsia"/>
        </w:rPr>
        <w:t>万元。金融资产投资公司应当通过金融资产投资公司官方渠道或中国银保监会认可的其他渠道，对投资者风险承受能力进行定期评估。</w:t>
      </w:r>
    </w:p>
    <w:p w14:paraId="30F84B48" w14:textId="77777777" w:rsidR="00A2756D" w:rsidRDefault="00A2756D" w:rsidP="00B230B7">
      <w:pPr>
        <w:pStyle w:val="AD"/>
        <w:spacing w:line="276" w:lineRule="auto"/>
      </w:pPr>
    </w:p>
    <w:p w14:paraId="406CCCAB" w14:textId="77777777" w:rsidR="00A2756D" w:rsidRDefault="00A2756D" w:rsidP="00B230B7">
      <w:pPr>
        <w:pStyle w:val="AD"/>
        <w:spacing w:line="276" w:lineRule="auto"/>
      </w:pPr>
      <w:r>
        <w:rPr>
          <w:rFonts w:hint="eastAsia"/>
        </w:rPr>
        <w:t>自然人投资者参与认购的债转股投资计划，不得以银行不良债权为投资标的。</w:t>
      </w:r>
    </w:p>
    <w:p w14:paraId="28F488D9" w14:textId="77777777" w:rsidR="00A2756D" w:rsidRDefault="00A2756D" w:rsidP="00B230B7">
      <w:pPr>
        <w:pStyle w:val="AD"/>
        <w:spacing w:line="276" w:lineRule="auto"/>
      </w:pPr>
    </w:p>
    <w:p w14:paraId="4832C6AC" w14:textId="77777777" w:rsidR="00A2756D" w:rsidRDefault="00A2756D" w:rsidP="00B230B7">
      <w:pPr>
        <w:pStyle w:val="AD"/>
        <w:spacing w:line="276" w:lineRule="auto"/>
      </w:pPr>
      <w:r>
        <w:rPr>
          <w:rFonts w:hint="eastAsia"/>
        </w:rPr>
        <w:t>（七）金融资产投资公司可以自行销售债转股投资计划，也可以委托商业银行等中国银保监会认可的机构代理销售或者推介债转股投资计划。</w:t>
      </w:r>
    </w:p>
    <w:p w14:paraId="5EFC8628" w14:textId="77777777" w:rsidR="00A2756D" w:rsidRDefault="00A2756D" w:rsidP="00B230B7">
      <w:pPr>
        <w:pStyle w:val="AD"/>
        <w:spacing w:line="276" w:lineRule="auto"/>
      </w:pPr>
    </w:p>
    <w:p w14:paraId="18B385EC" w14:textId="77777777" w:rsidR="00A2756D" w:rsidRDefault="00A2756D" w:rsidP="00B230B7">
      <w:pPr>
        <w:pStyle w:val="AD"/>
        <w:spacing w:line="276" w:lineRule="auto"/>
      </w:pPr>
      <w:r>
        <w:rPr>
          <w:rFonts w:hint="eastAsia"/>
        </w:rPr>
        <w:t>商业银行代理销售债转股投资计划时，应当严格按照《中国银监会关于规范商业银行代理销售业务的通知》（银监发〔</w:t>
      </w:r>
      <w:r>
        <w:rPr>
          <w:rFonts w:hint="eastAsia"/>
        </w:rPr>
        <w:t>2016</w:t>
      </w:r>
      <w:r>
        <w:rPr>
          <w:rFonts w:hint="eastAsia"/>
        </w:rPr>
        <w:t>〕</w:t>
      </w:r>
      <w:r>
        <w:rPr>
          <w:rFonts w:hint="eastAsia"/>
        </w:rPr>
        <w:t>24</w:t>
      </w:r>
      <w:r>
        <w:rPr>
          <w:rFonts w:hint="eastAsia"/>
        </w:rPr>
        <w:t>号）等要求，做好尽职调查、风险隔离和投资者适当性管理。</w:t>
      </w:r>
    </w:p>
    <w:p w14:paraId="3A257CF6" w14:textId="77777777" w:rsidR="00A2756D" w:rsidRDefault="00A2756D" w:rsidP="00B230B7">
      <w:pPr>
        <w:pStyle w:val="AD"/>
        <w:spacing w:line="276" w:lineRule="auto"/>
      </w:pPr>
    </w:p>
    <w:p w14:paraId="4B37B51F" w14:textId="77777777" w:rsidR="00A2756D" w:rsidRDefault="00A2756D" w:rsidP="00B230B7">
      <w:pPr>
        <w:pStyle w:val="AD"/>
        <w:spacing w:line="276" w:lineRule="auto"/>
      </w:pPr>
      <w:r>
        <w:rPr>
          <w:rFonts w:hint="eastAsia"/>
        </w:rPr>
        <w:t>（八）金融资产管理公司、保险资产管理机构、国有资本投资运营公司等各类市场化债转股实施机构和符合《关于鼓励相关机构参与市场化债转股的通知》（发改办财金〔</w:t>
      </w:r>
      <w:r>
        <w:rPr>
          <w:rFonts w:hint="eastAsia"/>
        </w:rPr>
        <w:t>2018</w:t>
      </w:r>
      <w:r>
        <w:rPr>
          <w:rFonts w:hint="eastAsia"/>
        </w:rPr>
        <w:t>〕</w:t>
      </w:r>
      <w:r>
        <w:rPr>
          <w:rFonts w:hint="eastAsia"/>
        </w:rPr>
        <w:t>1442</w:t>
      </w:r>
      <w:r>
        <w:rPr>
          <w:rFonts w:hint="eastAsia"/>
        </w:rPr>
        <w:t>号）规定的各类相关机构，可以在依法合规的前提下使用自有资金、合法筹集或管理的专项用于市场化债转股的资金投资债转股投资计划。</w:t>
      </w:r>
    </w:p>
    <w:p w14:paraId="332C323D" w14:textId="77777777" w:rsidR="00A2756D" w:rsidRDefault="00A2756D" w:rsidP="00B230B7">
      <w:pPr>
        <w:pStyle w:val="AD"/>
        <w:spacing w:line="276" w:lineRule="auto"/>
      </w:pPr>
    </w:p>
    <w:p w14:paraId="41902F0B" w14:textId="77777777" w:rsidR="00A2756D" w:rsidRDefault="00A2756D" w:rsidP="00B230B7">
      <w:pPr>
        <w:pStyle w:val="AD"/>
        <w:spacing w:line="276" w:lineRule="auto"/>
      </w:pPr>
      <w:r>
        <w:rPr>
          <w:rFonts w:hint="eastAsia"/>
        </w:rPr>
        <w:t>金融资产投资公司可以使用自有资金、合法筹集或管理的专项用于市场化债转股的资金投资本公司或其他金融资产投资公司作为管理人的债转股投资计划，但不得使用受托管理的资金投资本公司债转股投资计划。</w:t>
      </w:r>
    </w:p>
    <w:p w14:paraId="53698D84" w14:textId="77777777" w:rsidR="00A2756D" w:rsidRDefault="00A2756D" w:rsidP="00B230B7">
      <w:pPr>
        <w:pStyle w:val="AD"/>
        <w:spacing w:line="276" w:lineRule="auto"/>
      </w:pPr>
    </w:p>
    <w:p w14:paraId="1366D699" w14:textId="77777777" w:rsidR="00A2756D" w:rsidRDefault="00A2756D" w:rsidP="00B230B7">
      <w:pPr>
        <w:pStyle w:val="AD"/>
        <w:spacing w:line="276" w:lineRule="auto"/>
      </w:pPr>
      <w:r>
        <w:rPr>
          <w:rFonts w:hint="eastAsia"/>
        </w:rPr>
        <w:t>保险资金、养老金等可以依法投资债转股投资计划。</w:t>
      </w:r>
    </w:p>
    <w:p w14:paraId="6B4376A8" w14:textId="77777777" w:rsidR="00A2756D" w:rsidRDefault="00A2756D" w:rsidP="00B230B7">
      <w:pPr>
        <w:pStyle w:val="AD"/>
        <w:spacing w:line="276" w:lineRule="auto"/>
      </w:pPr>
    </w:p>
    <w:p w14:paraId="162C0B63" w14:textId="77777777" w:rsidR="00A2756D" w:rsidRDefault="00A2756D" w:rsidP="00B230B7">
      <w:pPr>
        <w:pStyle w:val="AD"/>
        <w:spacing w:line="276" w:lineRule="auto"/>
      </w:pPr>
      <w:r>
        <w:rPr>
          <w:rFonts w:hint="eastAsia"/>
        </w:rPr>
        <w:t>其他投资者可以使用自有资金投资债转股投资计划。</w:t>
      </w:r>
    </w:p>
    <w:p w14:paraId="32BD8E49" w14:textId="77777777" w:rsidR="00A2756D" w:rsidRDefault="00A2756D" w:rsidP="00B230B7">
      <w:pPr>
        <w:pStyle w:val="AD"/>
        <w:spacing w:line="276" w:lineRule="auto"/>
      </w:pPr>
    </w:p>
    <w:p w14:paraId="2D085EA3" w14:textId="77777777" w:rsidR="00A2756D" w:rsidRDefault="00A2756D" w:rsidP="00B230B7">
      <w:pPr>
        <w:pStyle w:val="AD"/>
        <w:spacing w:line="276" w:lineRule="auto"/>
      </w:pPr>
      <w:r>
        <w:rPr>
          <w:rFonts w:hint="eastAsia"/>
        </w:rPr>
        <w:t>（九）投资者可以通过银行业理财登记托管中心（下称登记机构）以及中国银保监会认可的其他场所和方式，向合格投资者转让其持有的债转股投资计划份额，并按规定办理持有人份额变更登记。转让后，持有债转股投资计划份额的合格投资者合计不得超过</w:t>
      </w:r>
      <w:r>
        <w:rPr>
          <w:rFonts w:hint="eastAsia"/>
        </w:rPr>
        <w:t>200</w:t>
      </w:r>
      <w:r>
        <w:rPr>
          <w:rFonts w:hint="eastAsia"/>
        </w:rPr>
        <w:t>人。</w:t>
      </w:r>
    </w:p>
    <w:p w14:paraId="35235E12" w14:textId="77777777" w:rsidR="00A2756D" w:rsidRDefault="00A2756D" w:rsidP="00B230B7">
      <w:pPr>
        <w:pStyle w:val="AD"/>
        <w:spacing w:line="276" w:lineRule="auto"/>
      </w:pPr>
    </w:p>
    <w:p w14:paraId="28DC9DA0" w14:textId="77777777" w:rsidR="00A2756D" w:rsidRDefault="00A2756D" w:rsidP="00B230B7">
      <w:pPr>
        <w:pStyle w:val="AD"/>
        <w:spacing w:line="276" w:lineRule="auto"/>
      </w:pPr>
      <w:r>
        <w:rPr>
          <w:rFonts w:hint="eastAsia"/>
        </w:rPr>
        <w:t>金融资产投资公司应当在债转股投资计划份额转让前，对受让人的合格投资者身份和债转股投资计划的投资者人数进行合规性审查。</w:t>
      </w:r>
    </w:p>
    <w:p w14:paraId="3297C8BC" w14:textId="77777777" w:rsidR="00A2756D" w:rsidRDefault="00A2756D" w:rsidP="00B230B7">
      <w:pPr>
        <w:pStyle w:val="AD"/>
        <w:spacing w:line="276" w:lineRule="auto"/>
      </w:pPr>
    </w:p>
    <w:p w14:paraId="03FCA453" w14:textId="77777777" w:rsidR="00A2756D" w:rsidRDefault="00A2756D" w:rsidP="00B230B7">
      <w:pPr>
        <w:pStyle w:val="AD"/>
        <w:spacing w:line="276" w:lineRule="auto"/>
      </w:pPr>
      <w:r>
        <w:rPr>
          <w:rFonts w:hint="eastAsia"/>
        </w:rPr>
        <w:lastRenderedPageBreak/>
        <w:t>任何单位或个人不得以拆分债转股投资计划份额等方式，变相突破合格投资者标准或</w:t>
      </w:r>
      <w:r>
        <w:rPr>
          <w:rFonts w:hint="eastAsia"/>
        </w:rPr>
        <w:t>200</w:t>
      </w:r>
      <w:r>
        <w:rPr>
          <w:rFonts w:hint="eastAsia"/>
        </w:rPr>
        <w:t>人的人数限制。</w:t>
      </w:r>
    </w:p>
    <w:p w14:paraId="0E38B755" w14:textId="77777777" w:rsidR="00A2756D" w:rsidRDefault="00A2756D" w:rsidP="00B230B7">
      <w:pPr>
        <w:pStyle w:val="AD"/>
        <w:spacing w:line="276" w:lineRule="auto"/>
      </w:pPr>
    </w:p>
    <w:p w14:paraId="30DDEDAE" w14:textId="77777777" w:rsidR="00A2756D" w:rsidRDefault="00A2756D" w:rsidP="00B230B7">
      <w:pPr>
        <w:pStyle w:val="AD"/>
        <w:spacing w:line="276" w:lineRule="auto"/>
      </w:pPr>
      <w:r>
        <w:rPr>
          <w:rFonts w:hint="eastAsia"/>
        </w:rPr>
        <w:t>三、投资运作</w:t>
      </w:r>
    </w:p>
    <w:p w14:paraId="4CF3EFB9" w14:textId="77777777" w:rsidR="00A2756D" w:rsidRDefault="00A2756D" w:rsidP="00B230B7">
      <w:pPr>
        <w:pStyle w:val="AD"/>
        <w:spacing w:line="276" w:lineRule="auto"/>
      </w:pPr>
    </w:p>
    <w:p w14:paraId="454058EF" w14:textId="77777777" w:rsidR="00A2756D" w:rsidRDefault="00A2756D" w:rsidP="00B230B7">
      <w:pPr>
        <w:pStyle w:val="AD"/>
        <w:spacing w:line="276" w:lineRule="auto"/>
      </w:pPr>
      <w:r>
        <w:rPr>
          <w:rFonts w:hint="eastAsia"/>
        </w:rPr>
        <w:t>（十）债转股投资计划可以投资单笔市场化债转股资产，也可以采用资产组合方式进行投资。资产组合投资中，市场化债转股资产原则上不低于债转股投资计划净资产的</w:t>
      </w:r>
      <w:r>
        <w:rPr>
          <w:rFonts w:hint="eastAsia"/>
        </w:rPr>
        <w:t>60%</w:t>
      </w:r>
      <w:r>
        <w:rPr>
          <w:rFonts w:hint="eastAsia"/>
        </w:rPr>
        <w:t>。</w:t>
      </w:r>
    </w:p>
    <w:p w14:paraId="50A0A2AA" w14:textId="77777777" w:rsidR="00A2756D" w:rsidRDefault="00A2756D" w:rsidP="00B230B7">
      <w:pPr>
        <w:pStyle w:val="AD"/>
        <w:spacing w:line="276" w:lineRule="auto"/>
      </w:pPr>
    </w:p>
    <w:p w14:paraId="3D8D256E" w14:textId="77777777" w:rsidR="00A2756D" w:rsidRDefault="00A2756D" w:rsidP="00B230B7">
      <w:pPr>
        <w:pStyle w:val="AD"/>
        <w:spacing w:line="276" w:lineRule="auto"/>
      </w:pPr>
      <w:r>
        <w:rPr>
          <w:rFonts w:hint="eastAsia"/>
        </w:rPr>
        <w:t>债转股投资计划可以投资的其他资产包括合同约定的存款（包括大额存单）、标准化债权类资产等。</w:t>
      </w:r>
    </w:p>
    <w:p w14:paraId="6AE1C659" w14:textId="77777777" w:rsidR="00A2756D" w:rsidRDefault="00A2756D" w:rsidP="00B230B7">
      <w:pPr>
        <w:pStyle w:val="AD"/>
        <w:spacing w:line="276" w:lineRule="auto"/>
      </w:pPr>
    </w:p>
    <w:p w14:paraId="728338EB" w14:textId="77777777" w:rsidR="00A2756D" w:rsidRDefault="00A2756D" w:rsidP="00B230B7">
      <w:pPr>
        <w:pStyle w:val="AD"/>
        <w:spacing w:line="276" w:lineRule="auto"/>
      </w:pPr>
      <w:r>
        <w:rPr>
          <w:rFonts w:hint="eastAsia"/>
        </w:rPr>
        <w:t>（十一）债转股投资计划应当为封闭式产品，自产品成立日至终止日期间，投资者不得进行认购或者赎回。债转股投资计划直接或间接投资于非标准化债权类资产的，非标准化债权类资产的终止日不得晚于产品到期日。债转股投资计划直接或间接投资于未上市企业股权及其收益权的，未上市企业股权及其收益权的退出日不得晚于产品的到期日。</w:t>
      </w:r>
    </w:p>
    <w:p w14:paraId="2F2B817D" w14:textId="77777777" w:rsidR="00A2756D" w:rsidRDefault="00A2756D" w:rsidP="00B230B7">
      <w:pPr>
        <w:pStyle w:val="AD"/>
        <w:spacing w:line="276" w:lineRule="auto"/>
      </w:pPr>
    </w:p>
    <w:p w14:paraId="33136477" w14:textId="77777777" w:rsidR="00A2756D" w:rsidRDefault="00A2756D" w:rsidP="00B230B7">
      <w:pPr>
        <w:pStyle w:val="AD"/>
        <w:spacing w:line="276" w:lineRule="auto"/>
      </w:pPr>
      <w:r>
        <w:rPr>
          <w:rFonts w:hint="eastAsia"/>
        </w:rPr>
        <w:t>（十二）债转股投资计划原则上应当为权益类产品或混合类产品，可以进行份额分级，根据所投资资产的风险程度设定分级比例（优先级份额</w:t>
      </w:r>
      <w:r>
        <w:rPr>
          <w:rFonts w:hint="eastAsia"/>
        </w:rPr>
        <w:t>/</w:t>
      </w:r>
      <w:r>
        <w:rPr>
          <w:rFonts w:hint="eastAsia"/>
        </w:rPr>
        <w:t>劣后级份额，中间级份额计入优先级份额）。权益类产品的分级比例不得超过</w:t>
      </w:r>
      <w:r>
        <w:rPr>
          <w:rFonts w:hint="eastAsia"/>
        </w:rPr>
        <w:t>1</w:t>
      </w:r>
      <w:r>
        <w:rPr>
          <w:rFonts w:hint="eastAsia"/>
        </w:rPr>
        <w:t>∶</w:t>
      </w:r>
      <w:r>
        <w:rPr>
          <w:rFonts w:hint="eastAsia"/>
        </w:rPr>
        <w:t>1</w:t>
      </w:r>
      <w:r>
        <w:rPr>
          <w:rFonts w:hint="eastAsia"/>
        </w:rPr>
        <w:t>，混合类产品的分级比例不得超过</w:t>
      </w:r>
      <w:r>
        <w:rPr>
          <w:rFonts w:hint="eastAsia"/>
        </w:rPr>
        <w:t>2</w:t>
      </w:r>
      <w:r>
        <w:rPr>
          <w:rFonts w:hint="eastAsia"/>
        </w:rPr>
        <w:t>∶</w:t>
      </w:r>
      <w:r>
        <w:rPr>
          <w:rFonts w:hint="eastAsia"/>
        </w:rPr>
        <w:t>1</w:t>
      </w:r>
      <w:r>
        <w:rPr>
          <w:rFonts w:hint="eastAsia"/>
        </w:rPr>
        <w:t>。分级债转股投资计划不得直接或间接对优先级份额认购者提供保本保收益安排。</w:t>
      </w:r>
    </w:p>
    <w:p w14:paraId="0A01EAB9" w14:textId="77777777" w:rsidR="00A2756D" w:rsidRDefault="00A2756D" w:rsidP="00B230B7">
      <w:pPr>
        <w:pStyle w:val="AD"/>
        <w:spacing w:line="276" w:lineRule="auto"/>
      </w:pPr>
    </w:p>
    <w:p w14:paraId="0696653F" w14:textId="77777777" w:rsidR="00A2756D" w:rsidRDefault="00A2756D" w:rsidP="00B230B7">
      <w:pPr>
        <w:pStyle w:val="AD"/>
        <w:spacing w:line="276" w:lineRule="auto"/>
      </w:pPr>
      <w:r>
        <w:rPr>
          <w:rFonts w:hint="eastAsia"/>
        </w:rPr>
        <w:t>金融资产投资公司应当对分级债转股投资计划进行自主管理，不得转委托给劣后级投资者。</w:t>
      </w:r>
    </w:p>
    <w:p w14:paraId="52B6D18A" w14:textId="77777777" w:rsidR="00A2756D" w:rsidRDefault="00A2756D" w:rsidP="00B230B7">
      <w:pPr>
        <w:pStyle w:val="AD"/>
        <w:spacing w:line="276" w:lineRule="auto"/>
      </w:pPr>
    </w:p>
    <w:p w14:paraId="4A91890D" w14:textId="77777777" w:rsidR="00A2756D" w:rsidRDefault="00A2756D" w:rsidP="00B230B7">
      <w:pPr>
        <w:pStyle w:val="AD"/>
        <w:spacing w:line="276" w:lineRule="auto"/>
      </w:pPr>
      <w:r>
        <w:rPr>
          <w:rFonts w:hint="eastAsia"/>
        </w:rPr>
        <w:t>（十三）债转股投资计划的总资产不得超过该产品净资产的</w:t>
      </w:r>
      <w:r>
        <w:rPr>
          <w:rFonts w:hint="eastAsia"/>
        </w:rPr>
        <w:t>200%</w:t>
      </w:r>
      <w:r>
        <w:rPr>
          <w:rFonts w:hint="eastAsia"/>
        </w:rPr>
        <w:t>。分级债转股投资计划的总资产不得超过该产品净资产的</w:t>
      </w:r>
      <w:r>
        <w:rPr>
          <w:rFonts w:hint="eastAsia"/>
        </w:rPr>
        <w:t>140%</w:t>
      </w:r>
      <w:r>
        <w:rPr>
          <w:rFonts w:hint="eastAsia"/>
        </w:rPr>
        <w:t>。</w:t>
      </w:r>
    </w:p>
    <w:p w14:paraId="4C43A378" w14:textId="77777777" w:rsidR="00A2756D" w:rsidRDefault="00A2756D" w:rsidP="00B230B7">
      <w:pPr>
        <w:pStyle w:val="AD"/>
        <w:spacing w:line="276" w:lineRule="auto"/>
      </w:pPr>
    </w:p>
    <w:p w14:paraId="59E31413" w14:textId="77777777" w:rsidR="00A2756D" w:rsidRDefault="00A2756D" w:rsidP="00B230B7">
      <w:pPr>
        <w:pStyle w:val="AD"/>
        <w:spacing w:line="276" w:lineRule="auto"/>
      </w:pPr>
      <w:r>
        <w:rPr>
          <w:rFonts w:hint="eastAsia"/>
        </w:rPr>
        <w:t>金融资产投资公司计算债转股投资计划总资产时，应当按照穿透原则合并计算债转股投资计划所投资的底层资产。债转股投资计划投资于资产管理产品的，应当按照持有资产管理产品的比例计算底层资产。</w:t>
      </w:r>
    </w:p>
    <w:p w14:paraId="778602CD" w14:textId="77777777" w:rsidR="00A2756D" w:rsidRDefault="00A2756D" w:rsidP="00B230B7">
      <w:pPr>
        <w:pStyle w:val="AD"/>
        <w:spacing w:line="276" w:lineRule="auto"/>
      </w:pPr>
    </w:p>
    <w:p w14:paraId="6B2673DF" w14:textId="77777777" w:rsidR="00A2756D" w:rsidRDefault="00A2756D" w:rsidP="00B230B7">
      <w:pPr>
        <w:pStyle w:val="AD"/>
        <w:spacing w:line="276" w:lineRule="auto"/>
      </w:pPr>
      <w:r>
        <w:rPr>
          <w:rFonts w:hint="eastAsia"/>
        </w:rPr>
        <w:t>四、登记托管</w:t>
      </w:r>
    </w:p>
    <w:p w14:paraId="3D382687" w14:textId="77777777" w:rsidR="00A2756D" w:rsidRDefault="00A2756D" w:rsidP="00B230B7">
      <w:pPr>
        <w:pStyle w:val="AD"/>
        <w:spacing w:line="276" w:lineRule="auto"/>
      </w:pPr>
    </w:p>
    <w:p w14:paraId="2E2ACDE7" w14:textId="77777777" w:rsidR="00A2756D" w:rsidRDefault="00A2756D" w:rsidP="00B230B7">
      <w:pPr>
        <w:pStyle w:val="AD"/>
        <w:spacing w:line="276" w:lineRule="auto"/>
      </w:pPr>
      <w:r>
        <w:rPr>
          <w:rFonts w:hint="eastAsia"/>
        </w:rPr>
        <w:t>（十四）金融资产投资公司应当在登记机构对债转股投资计划进行集中登记。金融资产投资公司不得发行未在登记机构进行登记的债转股投资计划。</w:t>
      </w:r>
    </w:p>
    <w:p w14:paraId="3B29EDFC" w14:textId="77777777" w:rsidR="00A2756D" w:rsidRDefault="00A2756D" w:rsidP="00B230B7">
      <w:pPr>
        <w:pStyle w:val="AD"/>
        <w:spacing w:line="276" w:lineRule="auto"/>
      </w:pPr>
    </w:p>
    <w:p w14:paraId="529BB8EF" w14:textId="77777777" w:rsidR="00A2756D" w:rsidRDefault="00A2756D" w:rsidP="00B230B7">
      <w:pPr>
        <w:pStyle w:val="AD"/>
        <w:spacing w:line="276" w:lineRule="auto"/>
      </w:pPr>
      <w:r>
        <w:rPr>
          <w:rFonts w:hint="eastAsia"/>
        </w:rPr>
        <w:t>（十五）金融资产投资公司发行债转股投资计划，应当在相关法律文件中约定投资者委托金融资产投资公司在登记机构开立持有人账户及办理产品份额登记的条款。</w:t>
      </w:r>
    </w:p>
    <w:p w14:paraId="3B12813D" w14:textId="77777777" w:rsidR="00A2756D" w:rsidRDefault="00A2756D" w:rsidP="00B230B7">
      <w:pPr>
        <w:pStyle w:val="AD"/>
        <w:spacing w:line="276" w:lineRule="auto"/>
      </w:pPr>
    </w:p>
    <w:p w14:paraId="4FF4E7E3" w14:textId="77777777" w:rsidR="00A2756D" w:rsidRDefault="00A2756D" w:rsidP="00B230B7">
      <w:pPr>
        <w:pStyle w:val="AD"/>
        <w:spacing w:line="276" w:lineRule="auto"/>
      </w:pPr>
      <w:r>
        <w:rPr>
          <w:rFonts w:hint="eastAsia"/>
        </w:rPr>
        <w:t>（十六）投资者应当向金融资产投资公司提交真实、准确、完整的开户信息，金融资产投资公</w:t>
      </w:r>
      <w:r>
        <w:rPr>
          <w:rFonts w:hint="eastAsia"/>
        </w:rPr>
        <w:lastRenderedPageBreak/>
        <w:t>司应当予以核实并向登记机构提交开户信息。登记机构应当为每个持有人账户设定唯一的账户号码，并出具开户通知书，通过持有人账户记载每个投资者持有债转股投资计划的份额及变动情况。</w:t>
      </w:r>
    </w:p>
    <w:p w14:paraId="0170CA6F" w14:textId="77777777" w:rsidR="00A2756D" w:rsidRDefault="00A2756D" w:rsidP="00B230B7">
      <w:pPr>
        <w:pStyle w:val="AD"/>
        <w:spacing w:line="276" w:lineRule="auto"/>
      </w:pPr>
    </w:p>
    <w:p w14:paraId="5F12A511" w14:textId="77777777" w:rsidR="00A2756D" w:rsidRDefault="00A2756D" w:rsidP="00B230B7">
      <w:pPr>
        <w:pStyle w:val="AD"/>
        <w:spacing w:line="276" w:lineRule="auto"/>
      </w:pPr>
      <w:r>
        <w:rPr>
          <w:rFonts w:hint="eastAsia"/>
        </w:rPr>
        <w:t>（十七）金融资产投资公司设立的债转股投资计划，应当选择在商业银行、登记机构等具有相关托管资质的机构托管。</w:t>
      </w:r>
    </w:p>
    <w:p w14:paraId="6953657A" w14:textId="77777777" w:rsidR="00A2756D" w:rsidRDefault="00A2756D" w:rsidP="00B230B7">
      <w:pPr>
        <w:pStyle w:val="AD"/>
        <w:spacing w:line="276" w:lineRule="auto"/>
      </w:pPr>
    </w:p>
    <w:p w14:paraId="3F68D8A1" w14:textId="77777777" w:rsidR="00A2756D" w:rsidRDefault="00A2756D" w:rsidP="00B230B7">
      <w:pPr>
        <w:pStyle w:val="AD"/>
        <w:spacing w:line="276" w:lineRule="auto"/>
      </w:pPr>
      <w:r>
        <w:rPr>
          <w:rFonts w:hint="eastAsia"/>
        </w:rPr>
        <w:t>五、信息披露与报送</w:t>
      </w:r>
    </w:p>
    <w:p w14:paraId="344B7420" w14:textId="77777777" w:rsidR="00A2756D" w:rsidRDefault="00A2756D" w:rsidP="00B230B7">
      <w:pPr>
        <w:pStyle w:val="AD"/>
        <w:spacing w:line="276" w:lineRule="auto"/>
      </w:pPr>
    </w:p>
    <w:p w14:paraId="4DB2CF15" w14:textId="77777777" w:rsidR="00A2756D" w:rsidRDefault="00A2756D" w:rsidP="00B230B7">
      <w:pPr>
        <w:pStyle w:val="AD"/>
        <w:spacing w:line="276" w:lineRule="auto"/>
      </w:pPr>
      <w:r>
        <w:rPr>
          <w:rFonts w:hint="eastAsia"/>
        </w:rPr>
        <w:t>（十八）金融资产投资公司应当在债转股投资计划产品合同中与投资者约定信息披露方式、内容、频率，主动、真实、准确、完整、及时披露产品募集信息、资金投向、杠杆水平、收益分配、托管安排、投资账户信息和主要投资风险等内容，并且应当至少每季度向投资者披露产品净值和其他重要信息。金融资产投资公司应当通过中国理财网和与投资者约定的其他方式披露产品信息。</w:t>
      </w:r>
    </w:p>
    <w:p w14:paraId="5FBF4234" w14:textId="77777777" w:rsidR="00A2756D" w:rsidRDefault="00A2756D" w:rsidP="00B230B7">
      <w:pPr>
        <w:pStyle w:val="AD"/>
        <w:spacing w:line="276" w:lineRule="auto"/>
      </w:pPr>
    </w:p>
    <w:p w14:paraId="475B9C1B" w14:textId="77777777" w:rsidR="00A2756D" w:rsidRDefault="00A2756D" w:rsidP="00B230B7">
      <w:pPr>
        <w:pStyle w:val="AD"/>
        <w:spacing w:line="276" w:lineRule="auto"/>
      </w:pPr>
      <w:r>
        <w:rPr>
          <w:rFonts w:hint="eastAsia"/>
        </w:rPr>
        <w:t>（十九）金融资产投资公司、登记机构应当按要求向相关部门报送债转股投资计划产品信息。登记机构应当每月向中国银保监会报告债转股投资计划登记内容、登记质量和登记系统运行等有关情况。</w:t>
      </w:r>
    </w:p>
    <w:p w14:paraId="2080A222" w14:textId="77777777" w:rsidR="00A2756D" w:rsidRDefault="00A2756D" w:rsidP="00B230B7">
      <w:pPr>
        <w:pStyle w:val="AD"/>
        <w:spacing w:line="276" w:lineRule="auto"/>
      </w:pPr>
    </w:p>
    <w:p w14:paraId="01D8C287" w14:textId="77777777" w:rsidR="00A2756D" w:rsidRDefault="00A2756D" w:rsidP="00B230B7">
      <w:pPr>
        <w:pStyle w:val="AD"/>
        <w:spacing w:line="276" w:lineRule="auto"/>
      </w:pPr>
      <w:r>
        <w:rPr>
          <w:rFonts w:hint="eastAsia"/>
        </w:rPr>
        <w:t>六、其他事项</w:t>
      </w:r>
    </w:p>
    <w:p w14:paraId="73AB7627" w14:textId="77777777" w:rsidR="00A2756D" w:rsidRDefault="00A2756D" w:rsidP="00B230B7">
      <w:pPr>
        <w:pStyle w:val="AD"/>
        <w:spacing w:line="276" w:lineRule="auto"/>
      </w:pPr>
    </w:p>
    <w:p w14:paraId="13E0B075" w14:textId="77777777" w:rsidR="00A2756D" w:rsidRDefault="00A2756D" w:rsidP="00B230B7">
      <w:pPr>
        <w:pStyle w:val="AD"/>
        <w:spacing w:line="276" w:lineRule="auto"/>
      </w:pPr>
      <w:r>
        <w:rPr>
          <w:rFonts w:hint="eastAsia"/>
        </w:rPr>
        <w:t>（二十）债转股投资计划登记的基本要求见附件。在本通知发布前设立的债转股投资计划，应当自本通知发布实施之日起六十日内完成补登记。</w:t>
      </w:r>
    </w:p>
    <w:p w14:paraId="2DDE2D7B" w14:textId="77777777" w:rsidR="00A2756D" w:rsidRDefault="00A2756D" w:rsidP="00B230B7">
      <w:pPr>
        <w:pStyle w:val="AD"/>
        <w:spacing w:line="276" w:lineRule="auto"/>
      </w:pPr>
    </w:p>
    <w:p w14:paraId="3F838B45" w14:textId="77777777" w:rsidR="00A2756D" w:rsidRDefault="00A2756D" w:rsidP="00B230B7">
      <w:pPr>
        <w:pStyle w:val="AD"/>
        <w:spacing w:line="276" w:lineRule="auto"/>
      </w:pPr>
      <w:r>
        <w:rPr>
          <w:rFonts w:hint="eastAsia"/>
        </w:rPr>
        <w:t>（二十一）金融资产投资公司开展资产管理业务，除本通知涉及的事项外，应遵守《关于规范金融机构资产管理业务的指导意见》的相关规定。</w:t>
      </w:r>
    </w:p>
    <w:p w14:paraId="3482A9C3" w14:textId="77777777" w:rsidR="00A2756D" w:rsidRDefault="00A2756D" w:rsidP="00B230B7">
      <w:pPr>
        <w:pStyle w:val="AD"/>
        <w:spacing w:line="276" w:lineRule="auto"/>
      </w:pPr>
    </w:p>
    <w:p w14:paraId="13B77390" w14:textId="3A8F3675" w:rsidR="00A2756D" w:rsidRDefault="00A2756D" w:rsidP="00B230B7">
      <w:pPr>
        <w:pStyle w:val="AD"/>
        <w:spacing w:line="276" w:lineRule="auto"/>
      </w:pPr>
      <w:r>
        <w:rPr>
          <w:rFonts w:hint="eastAsia"/>
        </w:rPr>
        <w:t>附件：</w:t>
      </w:r>
      <w:hyperlink r:id="rId6" w:history="1">
        <w:r w:rsidRPr="00751EB7">
          <w:rPr>
            <w:rStyle w:val="a9"/>
            <w:rFonts w:hint="eastAsia"/>
          </w:rPr>
          <w:t>债转股投资计划登记的基本要求</w:t>
        </w:r>
      </w:hyperlink>
    </w:p>
    <w:p w14:paraId="43EE3A81" w14:textId="1E026E2B" w:rsidR="00A2756D" w:rsidRDefault="00A2756D" w:rsidP="00B230B7">
      <w:pPr>
        <w:pStyle w:val="AD"/>
        <w:spacing w:line="276" w:lineRule="auto"/>
      </w:pPr>
    </w:p>
    <w:p w14:paraId="25474700" w14:textId="77777777" w:rsidR="00A2756D" w:rsidRDefault="00A2756D" w:rsidP="00B230B7">
      <w:pPr>
        <w:pStyle w:val="AD"/>
        <w:spacing w:line="276" w:lineRule="auto"/>
      </w:pPr>
    </w:p>
    <w:p w14:paraId="2EF1FD05" w14:textId="763EB0BD" w:rsidR="00A2756D" w:rsidRDefault="00A2756D" w:rsidP="00B230B7">
      <w:pPr>
        <w:pStyle w:val="AD"/>
        <w:spacing w:line="276" w:lineRule="auto"/>
        <w:jc w:val="right"/>
      </w:pPr>
      <w:r>
        <w:rPr>
          <w:rFonts w:hint="eastAsia"/>
        </w:rPr>
        <w:t>中国银行保险监督管理委员会</w:t>
      </w:r>
    </w:p>
    <w:p w14:paraId="5C4E0567" w14:textId="21F4337C" w:rsidR="00B15193" w:rsidRDefault="00A2756D" w:rsidP="00B230B7">
      <w:pPr>
        <w:pStyle w:val="AD"/>
        <w:spacing w:line="276" w:lineRule="auto"/>
        <w:jc w:val="right"/>
      </w:pPr>
      <w:r>
        <w:rPr>
          <w:rFonts w:hint="eastAsia"/>
        </w:rPr>
        <w:t>2020</w:t>
      </w:r>
      <w:r>
        <w:rPr>
          <w:rFonts w:hint="eastAsia"/>
        </w:rPr>
        <w:t>年</w:t>
      </w:r>
      <w:r>
        <w:rPr>
          <w:rFonts w:hint="eastAsia"/>
        </w:rPr>
        <w:t>4</w:t>
      </w:r>
      <w:r>
        <w:rPr>
          <w:rFonts w:hint="eastAsia"/>
        </w:rPr>
        <w:t>月</w:t>
      </w:r>
      <w:r>
        <w:rPr>
          <w:rFonts w:hint="eastAsia"/>
        </w:rPr>
        <w:t>16</w:t>
      </w:r>
      <w:r>
        <w:rPr>
          <w:rFonts w:hint="eastAsia"/>
        </w:rPr>
        <w:t>日</w:t>
      </w:r>
    </w:p>
    <w:p w14:paraId="24ADA6CD" w14:textId="34E4C5B7" w:rsidR="00A2756D" w:rsidRDefault="00A2756D" w:rsidP="00B230B7">
      <w:pPr>
        <w:pStyle w:val="AD"/>
        <w:spacing w:line="276" w:lineRule="auto"/>
      </w:pPr>
    </w:p>
    <w:p w14:paraId="4781BCA5" w14:textId="572EE480" w:rsidR="00A2756D" w:rsidRDefault="00A2756D" w:rsidP="00B230B7">
      <w:pPr>
        <w:pStyle w:val="AD"/>
        <w:spacing w:line="276" w:lineRule="auto"/>
      </w:pPr>
    </w:p>
    <w:p w14:paraId="3D00E52E" w14:textId="3067E853" w:rsidR="00A2756D" w:rsidRDefault="00A2756D" w:rsidP="00B230B7">
      <w:pPr>
        <w:pStyle w:val="AD"/>
        <w:spacing w:line="276" w:lineRule="auto"/>
        <w:rPr>
          <w:rStyle w:val="a9"/>
        </w:rPr>
      </w:pPr>
      <w:r>
        <w:rPr>
          <w:rFonts w:hint="eastAsia"/>
        </w:rPr>
        <w:t>信息来源：</w:t>
      </w:r>
      <w:hyperlink r:id="rId7" w:history="1">
        <w:r>
          <w:rPr>
            <w:rStyle w:val="a9"/>
          </w:rPr>
          <w:t>http://www.cbirc.gov.cn/cn/view/pages/ItemDetail.html?docId=902411</w:t>
        </w:r>
      </w:hyperlink>
    </w:p>
    <w:p w14:paraId="1D488E8C" w14:textId="77777777" w:rsidR="002225EC" w:rsidRDefault="002225EC" w:rsidP="00B230B7">
      <w:pPr>
        <w:pStyle w:val="AD"/>
        <w:spacing w:line="276" w:lineRule="auto"/>
      </w:pPr>
    </w:p>
    <w:sectPr w:rsidR="002225E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3FF70" w14:textId="77777777" w:rsidR="003A4D7D" w:rsidRDefault="003A4D7D" w:rsidP="00C20A6A">
      <w:pPr>
        <w:spacing w:line="240" w:lineRule="auto"/>
      </w:pPr>
      <w:r>
        <w:separator/>
      </w:r>
    </w:p>
  </w:endnote>
  <w:endnote w:type="continuationSeparator" w:id="0">
    <w:p w14:paraId="10B1FB77" w14:textId="77777777" w:rsidR="003A4D7D" w:rsidRDefault="003A4D7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9CD68B" w14:textId="77777777" w:rsidR="003A4D7D" w:rsidRDefault="003A4D7D" w:rsidP="00C20A6A">
      <w:pPr>
        <w:spacing w:line="240" w:lineRule="auto"/>
      </w:pPr>
      <w:r>
        <w:separator/>
      </w:r>
    </w:p>
  </w:footnote>
  <w:footnote w:type="continuationSeparator" w:id="0">
    <w:p w14:paraId="396F746C" w14:textId="77777777" w:rsidR="003A4D7D" w:rsidRDefault="003A4D7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D731D"/>
    <w:rsid w:val="000F4C6A"/>
    <w:rsid w:val="00176A25"/>
    <w:rsid w:val="001A65AA"/>
    <w:rsid w:val="001C4C6F"/>
    <w:rsid w:val="002225EC"/>
    <w:rsid w:val="002D731D"/>
    <w:rsid w:val="003460AF"/>
    <w:rsid w:val="003A4D7D"/>
    <w:rsid w:val="003D27E2"/>
    <w:rsid w:val="005F7C76"/>
    <w:rsid w:val="0069424B"/>
    <w:rsid w:val="00751EB7"/>
    <w:rsid w:val="007D7BDB"/>
    <w:rsid w:val="009B6ED3"/>
    <w:rsid w:val="00A2756D"/>
    <w:rsid w:val="00A52D70"/>
    <w:rsid w:val="00A548E7"/>
    <w:rsid w:val="00B15193"/>
    <w:rsid w:val="00B230B7"/>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F38A6"/>
  <w15:chartTrackingRefBased/>
  <w15:docId w15:val="{F2E61A63-D64F-4EC6-8677-DB385491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A2756D"/>
    <w:pPr>
      <w:ind w:leftChars="2500" w:left="100"/>
    </w:pPr>
  </w:style>
  <w:style w:type="character" w:customStyle="1" w:styleId="a8">
    <w:name w:val="日期 字符"/>
    <w:basedOn w:val="a0"/>
    <w:link w:val="a7"/>
    <w:uiPriority w:val="99"/>
    <w:semiHidden/>
    <w:rsid w:val="00A2756D"/>
    <w:rPr>
      <w:rFonts w:ascii="Arial" w:eastAsia="宋体" w:hAnsi="Arial"/>
      <w:sz w:val="22"/>
    </w:rPr>
  </w:style>
  <w:style w:type="character" w:styleId="a9">
    <w:name w:val="Hyperlink"/>
    <w:basedOn w:val="a0"/>
    <w:uiPriority w:val="99"/>
    <w:unhideWhenUsed/>
    <w:rsid w:val="00A2756D"/>
    <w:rPr>
      <w:color w:val="0000FF"/>
      <w:u w:val="single"/>
    </w:rPr>
  </w:style>
  <w:style w:type="character" w:styleId="aa">
    <w:name w:val="Unresolved Mention"/>
    <w:basedOn w:val="a0"/>
    <w:uiPriority w:val="99"/>
    <w:semiHidden/>
    <w:unhideWhenUsed/>
    <w:rsid w:val="00751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birc.gov.cn/cn/view/pages/ItemDetail.html?docId=90241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00508011_01.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533</Words>
  <Characters>3039</Characters>
  <Application>Microsoft Office Word</Application>
  <DocSecurity>0</DocSecurity>
  <Lines>25</Lines>
  <Paragraphs>7</Paragraphs>
  <ScaleCrop>false</ScaleCrop>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10</cp:revision>
  <dcterms:created xsi:type="dcterms:W3CDTF">2020-05-08T13:05:00Z</dcterms:created>
  <dcterms:modified xsi:type="dcterms:W3CDTF">2020-05-09T03:31:00Z</dcterms:modified>
</cp:coreProperties>
</file>