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9FD68" w14:textId="77777777" w:rsidR="008404D8" w:rsidRPr="002D31CA" w:rsidRDefault="008404D8" w:rsidP="00021AC1">
      <w:pPr>
        <w:pStyle w:val="AD"/>
        <w:spacing w:line="276" w:lineRule="auto"/>
        <w:jc w:val="center"/>
        <w:rPr>
          <w:b/>
          <w:bCs/>
          <w:color w:val="E36C0A" w:themeColor="accent6" w:themeShade="BF"/>
          <w:sz w:val="32"/>
          <w:szCs w:val="32"/>
        </w:rPr>
      </w:pPr>
      <w:r w:rsidRPr="002D31CA">
        <w:rPr>
          <w:rFonts w:hint="eastAsia"/>
          <w:b/>
          <w:bCs/>
          <w:color w:val="E36C0A" w:themeColor="accent6" w:themeShade="BF"/>
          <w:sz w:val="32"/>
          <w:szCs w:val="32"/>
        </w:rPr>
        <w:t>关于优化外汇管理</w:t>
      </w:r>
      <w:r w:rsidRPr="002D31CA">
        <w:rPr>
          <w:rFonts w:hint="eastAsia"/>
          <w:b/>
          <w:bCs/>
          <w:color w:val="E36C0A" w:themeColor="accent6" w:themeShade="BF"/>
          <w:sz w:val="32"/>
          <w:szCs w:val="32"/>
        </w:rPr>
        <w:t xml:space="preserve"> </w:t>
      </w:r>
      <w:r w:rsidRPr="002D31CA">
        <w:rPr>
          <w:rFonts w:hint="eastAsia"/>
          <w:b/>
          <w:bCs/>
          <w:color w:val="E36C0A" w:themeColor="accent6" w:themeShade="BF"/>
          <w:sz w:val="32"/>
          <w:szCs w:val="32"/>
        </w:rPr>
        <w:t>支持涉外业务发展的通知</w:t>
      </w:r>
    </w:p>
    <w:p w14:paraId="7653466C" w14:textId="77777777" w:rsidR="002D31CA" w:rsidRDefault="002D31CA" w:rsidP="00021AC1">
      <w:pPr>
        <w:pStyle w:val="AD"/>
        <w:spacing w:line="276" w:lineRule="auto"/>
      </w:pPr>
    </w:p>
    <w:p w14:paraId="74EB66DB" w14:textId="4A0D2BB9" w:rsidR="008404D8" w:rsidRDefault="008404D8" w:rsidP="00021AC1">
      <w:pPr>
        <w:pStyle w:val="AD"/>
        <w:spacing w:line="276" w:lineRule="auto"/>
      </w:pPr>
      <w:r>
        <w:rPr>
          <w:rFonts w:hint="eastAsia"/>
        </w:rPr>
        <w:t>国家外汇管理局各省、自治区、直辖市分局、外汇管理部，深圳、大连、青岛、厦门、宁波市分局；各全国性中资银行：</w:t>
      </w:r>
    </w:p>
    <w:p w14:paraId="05D5C4DE" w14:textId="77777777" w:rsidR="008404D8" w:rsidRDefault="008404D8" w:rsidP="00021AC1">
      <w:pPr>
        <w:pStyle w:val="AD"/>
        <w:spacing w:line="276" w:lineRule="auto"/>
      </w:pPr>
    </w:p>
    <w:p w14:paraId="74EE1BF0" w14:textId="77777777" w:rsidR="008404D8" w:rsidRDefault="008404D8" w:rsidP="00021AC1">
      <w:pPr>
        <w:pStyle w:val="AD"/>
        <w:spacing w:line="276" w:lineRule="auto"/>
      </w:pPr>
      <w:r>
        <w:rPr>
          <w:rFonts w:hint="eastAsia"/>
        </w:rPr>
        <w:t>为进一步改善营商环境，服务实体经济高质量发展，国家外汇管理局决定优化外汇业务管理，完善外汇服务方式，提升跨境贸易投资便利化水平。现就有关事项通知如下：</w:t>
      </w:r>
    </w:p>
    <w:p w14:paraId="6DB2B53B" w14:textId="77777777" w:rsidR="008404D8" w:rsidRDefault="008404D8" w:rsidP="00021AC1">
      <w:pPr>
        <w:pStyle w:val="AD"/>
        <w:spacing w:line="276" w:lineRule="auto"/>
      </w:pPr>
    </w:p>
    <w:p w14:paraId="7BDF79C3" w14:textId="77777777" w:rsidR="008404D8" w:rsidRDefault="008404D8" w:rsidP="00021AC1">
      <w:pPr>
        <w:pStyle w:val="AD"/>
        <w:spacing w:line="276" w:lineRule="auto"/>
      </w:pPr>
      <w:r>
        <w:rPr>
          <w:rFonts w:hint="eastAsia"/>
        </w:rPr>
        <w:t>一、优化外汇业务管理</w:t>
      </w:r>
    </w:p>
    <w:p w14:paraId="474F2C3E" w14:textId="77777777" w:rsidR="008404D8" w:rsidRDefault="008404D8" w:rsidP="00021AC1">
      <w:pPr>
        <w:pStyle w:val="AD"/>
        <w:spacing w:line="276" w:lineRule="auto"/>
      </w:pPr>
    </w:p>
    <w:p w14:paraId="436130D9" w14:textId="77777777" w:rsidR="008404D8" w:rsidRDefault="008404D8" w:rsidP="00021AC1">
      <w:pPr>
        <w:pStyle w:val="AD"/>
        <w:spacing w:line="276" w:lineRule="auto"/>
      </w:pPr>
      <w:r>
        <w:rPr>
          <w:rFonts w:hint="eastAsia"/>
        </w:rPr>
        <w:t>（一）全国推广资本项目收入支付便利化改革。在确保资金使用真实合</w:t>
      </w:r>
      <w:proofErr w:type="gramStart"/>
      <w:r>
        <w:rPr>
          <w:rFonts w:hint="eastAsia"/>
        </w:rPr>
        <w:t>规</w:t>
      </w:r>
      <w:proofErr w:type="gramEnd"/>
      <w:r>
        <w:rPr>
          <w:rFonts w:hint="eastAsia"/>
        </w:rPr>
        <w:t>并符合现行资本项目收入使用管理规定的前提下，允许符合条件的企业将资本金、外债和境外上市等资本项目收入用于境内支付时，无需事前向银行逐笔提供真实性证明材料。经办银行应遵循审慎展</w:t>
      </w:r>
      <w:proofErr w:type="gramStart"/>
      <w:r>
        <w:rPr>
          <w:rFonts w:hint="eastAsia"/>
        </w:rPr>
        <w:t>业原则管控相关</w:t>
      </w:r>
      <w:proofErr w:type="gramEnd"/>
      <w:r>
        <w:rPr>
          <w:rFonts w:hint="eastAsia"/>
        </w:rPr>
        <w:t>业务风险，并按有关要求对所办理的资本项目收入支付便利</w:t>
      </w:r>
      <w:proofErr w:type="gramStart"/>
      <w:r>
        <w:rPr>
          <w:rFonts w:hint="eastAsia"/>
        </w:rPr>
        <w:t>化业务</w:t>
      </w:r>
      <w:proofErr w:type="gramEnd"/>
      <w:r>
        <w:rPr>
          <w:rFonts w:hint="eastAsia"/>
        </w:rPr>
        <w:t>进行事后抽查。所在地外汇局应加强监测分析和事中事后监管。</w:t>
      </w:r>
    </w:p>
    <w:p w14:paraId="029BC502" w14:textId="77777777" w:rsidR="008404D8" w:rsidRDefault="008404D8" w:rsidP="00021AC1">
      <w:pPr>
        <w:pStyle w:val="AD"/>
        <w:spacing w:line="276" w:lineRule="auto"/>
      </w:pPr>
    </w:p>
    <w:p w14:paraId="2CE19ED7" w14:textId="77777777" w:rsidR="008404D8" w:rsidRDefault="008404D8" w:rsidP="00021AC1">
      <w:pPr>
        <w:pStyle w:val="AD"/>
        <w:spacing w:line="276" w:lineRule="auto"/>
      </w:pPr>
      <w:r>
        <w:rPr>
          <w:rFonts w:hint="eastAsia"/>
        </w:rPr>
        <w:t>（二）取消特殊退汇业务登记。货物贸易外汇收支企业名录分类为</w:t>
      </w:r>
      <w:r>
        <w:rPr>
          <w:rFonts w:hint="eastAsia"/>
        </w:rPr>
        <w:t>A</w:t>
      </w:r>
      <w:r>
        <w:rPr>
          <w:rFonts w:hint="eastAsia"/>
        </w:rPr>
        <w:t>类的企业，办理单笔等值</w:t>
      </w:r>
      <w:r>
        <w:rPr>
          <w:rFonts w:hint="eastAsia"/>
        </w:rPr>
        <w:t>5</w:t>
      </w:r>
      <w:r>
        <w:rPr>
          <w:rFonts w:hint="eastAsia"/>
        </w:rPr>
        <w:t>万美元（含）以下的退汇日期与原收、付款日期间隔在</w:t>
      </w:r>
      <w:r>
        <w:rPr>
          <w:rFonts w:hint="eastAsia"/>
        </w:rPr>
        <w:t>180</w:t>
      </w:r>
      <w:r>
        <w:rPr>
          <w:rFonts w:hint="eastAsia"/>
        </w:rPr>
        <w:t>天（不含）以上或由于特殊情况无法原路退汇的业务，无需事前到外汇局办理登记手续，可直接在金融机构办理。金融机构在为企业办理以上免于登记的退汇业务时，应在涉外收支申报交易附言中注明“特殊退汇”。</w:t>
      </w:r>
    </w:p>
    <w:p w14:paraId="66977207" w14:textId="77777777" w:rsidR="008404D8" w:rsidRDefault="008404D8" w:rsidP="00021AC1">
      <w:pPr>
        <w:pStyle w:val="AD"/>
        <w:spacing w:line="276" w:lineRule="auto"/>
      </w:pPr>
    </w:p>
    <w:p w14:paraId="5AFE51CE" w14:textId="77777777" w:rsidR="008404D8" w:rsidRDefault="008404D8" w:rsidP="00021AC1">
      <w:pPr>
        <w:pStyle w:val="AD"/>
        <w:spacing w:line="276" w:lineRule="auto"/>
      </w:pPr>
      <w:r>
        <w:rPr>
          <w:rFonts w:hint="eastAsia"/>
        </w:rPr>
        <w:t>（三）简化部分资本项目业务登记管理。将符合条件的内保外贷和境外放款注销登记下放至银行办理。非金融企业内保外</w:t>
      </w:r>
      <w:proofErr w:type="gramStart"/>
      <w:r>
        <w:rPr>
          <w:rFonts w:hint="eastAsia"/>
        </w:rPr>
        <w:t>贷责任</w:t>
      </w:r>
      <w:proofErr w:type="gramEnd"/>
      <w:r>
        <w:rPr>
          <w:rFonts w:hint="eastAsia"/>
        </w:rPr>
        <w:t>已解除且未发生内保外贷履约的情况下，可到其所属分局（外汇管理部）辖内银行直接办理内保外贷注销登记。非金融企业境外放款期限届满</w:t>
      </w:r>
      <w:proofErr w:type="gramStart"/>
      <w:r>
        <w:rPr>
          <w:rFonts w:hint="eastAsia"/>
        </w:rPr>
        <w:t>且正常</w:t>
      </w:r>
      <w:proofErr w:type="gramEnd"/>
      <w:r>
        <w:rPr>
          <w:rFonts w:hint="eastAsia"/>
        </w:rPr>
        <w:t>收回境外放款本息的情况下，可到其所属分局（外汇管理部）辖内银行直接办理境外放款注销登记。</w:t>
      </w:r>
    </w:p>
    <w:p w14:paraId="69952ED0" w14:textId="77777777" w:rsidR="008404D8" w:rsidRDefault="008404D8" w:rsidP="00021AC1">
      <w:pPr>
        <w:pStyle w:val="AD"/>
        <w:spacing w:line="276" w:lineRule="auto"/>
      </w:pPr>
    </w:p>
    <w:p w14:paraId="1B31DFBF" w14:textId="77777777" w:rsidR="008404D8" w:rsidRDefault="008404D8" w:rsidP="00021AC1">
      <w:pPr>
        <w:pStyle w:val="AD"/>
        <w:spacing w:line="276" w:lineRule="auto"/>
      </w:pPr>
      <w:r>
        <w:rPr>
          <w:rFonts w:hint="eastAsia"/>
        </w:rPr>
        <w:t>（四）放宽具有出口背景的国内外汇贷款购汇偿还。出口押汇等国内外汇贷款按规定进入经常项目外汇结算账户并办理结汇的，企业原则上应以自有外汇或货物贸易出口收汇资金偿还。在企业出口确实无法按期</w:t>
      </w:r>
      <w:proofErr w:type="gramStart"/>
      <w:r>
        <w:rPr>
          <w:rFonts w:hint="eastAsia"/>
        </w:rPr>
        <w:t>收汇且</w:t>
      </w:r>
      <w:proofErr w:type="gramEnd"/>
      <w:r>
        <w:rPr>
          <w:rFonts w:hint="eastAsia"/>
        </w:rPr>
        <w:t>没有其他外汇资金可用于偿还上述国内外汇贷款时，贷款银行可按照审慎展业原则，为企业办理购汇偿还手续，并于每月初</w:t>
      </w:r>
      <w:r>
        <w:rPr>
          <w:rFonts w:hint="eastAsia"/>
        </w:rPr>
        <w:t>5</w:t>
      </w:r>
      <w:proofErr w:type="gramStart"/>
      <w:r>
        <w:rPr>
          <w:rFonts w:hint="eastAsia"/>
        </w:rPr>
        <w:t>个</w:t>
      </w:r>
      <w:proofErr w:type="gramEnd"/>
      <w:r>
        <w:rPr>
          <w:rFonts w:hint="eastAsia"/>
        </w:rPr>
        <w:t>工作日内向所在地外汇局报</w:t>
      </w:r>
      <w:proofErr w:type="gramStart"/>
      <w:r>
        <w:rPr>
          <w:rFonts w:hint="eastAsia"/>
        </w:rPr>
        <w:t>备有关</w:t>
      </w:r>
      <w:proofErr w:type="gramEnd"/>
      <w:r>
        <w:rPr>
          <w:rFonts w:hint="eastAsia"/>
        </w:rPr>
        <w:t>情况。</w:t>
      </w:r>
    </w:p>
    <w:p w14:paraId="6361515D" w14:textId="77777777" w:rsidR="008404D8" w:rsidRDefault="008404D8" w:rsidP="00021AC1">
      <w:pPr>
        <w:pStyle w:val="AD"/>
        <w:spacing w:line="276" w:lineRule="auto"/>
      </w:pPr>
    </w:p>
    <w:p w14:paraId="277B58B8" w14:textId="77777777" w:rsidR="008404D8" w:rsidRDefault="008404D8" w:rsidP="00021AC1">
      <w:pPr>
        <w:pStyle w:val="AD"/>
        <w:spacing w:line="276" w:lineRule="auto"/>
      </w:pPr>
      <w:r>
        <w:rPr>
          <w:rFonts w:hint="eastAsia"/>
        </w:rPr>
        <w:t>二、完善外汇业务服务</w:t>
      </w:r>
    </w:p>
    <w:p w14:paraId="42074EF4" w14:textId="77777777" w:rsidR="008404D8" w:rsidRDefault="008404D8" w:rsidP="00021AC1">
      <w:pPr>
        <w:pStyle w:val="AD"/>
        <w:spacing w:line="276" w:lineRule="auto"/>
      </w:pPr>
    </w:p>
    <w:p w14:paraId="2D6CC4C1" w14:textId="77777777" w:rsidR="008404D8" w:rsidRDefault="008404D8" w:rsidP="00021AC1">
      <w:pPr>
        <w:pStyle w:val="AD"/>
        <w:spacing w:line="276" w:lineRule="auto"/>
      </w:pPr>
      <w:r>
        <w:rPr>
          <w:rFonts w:hint="eastAsia"/>
        </w:rPr>
        <w:t>（五）便利外汇业务使用电子单证。银行按规定以审核电子单证方式办理货物贸易外汇收支的，取消企业分类为</w:t>
      </w:r>
      <w:r>
        <w:rPr>
          <w:rFonts w:hint="eastAsia"/>
        </w:rPr>
        <w:t>A</w:t>
      </w:r>
      <w:r>
        <w:rPr>
          <w:rFonts w:hint="eastAsia"/>
        </w:rPr>
        <w:t>类以及成立满</w:t>
      </w:r>
      <w:r>
        <w:rPr>
          <w:rFonts w:hint="eastAsia"/>
        </w:rPr>
        <w:t>2</w:t>
      </w:r>
      <w:r>
        <w:rPr>
          <w:rFonts w:hint="eastAsia"/>
        </w:rPr>
        <w:t>年的条件。银行按规定以审核电子单证方式办理服务贸易、初次收入和二次收入外汇收支的，可不打印电子交易单证。银行办理个人结售汇业务时，可不打印“结汇</w:t>
      </w:r>
      <w:r>
        <w:rPr>
          <w:rFonts w:hint="eastAsia"/>
        </w:rPr>
        <w:t>/</w:t>
      </w:r>
      <w:r>
        <w:rPr>
          <w:rFonts w:hint="eastAsia"/>
        </w:rPr>
        <w:t>购汇通知单”。银行办理上述业务，应确保电子单证的真实性、合</w:t>
      </w:r>
      <w:proofErr w:type="gramStart"/>
      <w:r>
        <w:rPr>
          <w:rFonts w:hint="eastAsia"/>
        </w:rPr>
        <w:t>规</w:t>
      </w:r>
      <w:proofErr w:type="gramEnd"/>
      <w:r>
        <w:rPr>
          <w:rFonts w:hint="eastAsia"/>
        </w:rPr>
        <w:t>性以及使用的唯一性，并留存电子单证或电子信息</w:t>
      </w:r>
      <w:r>
        <w:rPr>
          <w:rFonts w:hint="eastAsia"/>
        </w:rPr>
        <w:t>5</w:t>
      </w:r>
      <w:r>
        <w:rPr>
          <w:rFonts w:hint="eastAsia"/>
        </w:rPr>
        <w:t>年备查。</w:t>
      </w:r>
    </w:p>
    <w:p w14:paraId="40C4D8FC" w14:textId="77777777" w:rsidR="008404D8" w:rsidRDefault="008404D8" w:rsidP="00021AC1">
      <w:pPr>
        <w:pStyle w:val="AD"/>
        <w:spacing w:line="276" w:lineRule="auto"/>
      </w:pPr>
    </w:p>
    <w:p w14:paraId="5AC51037" w14:textId="77777777" w:rsidR="008404D8" w:rsidRDefault="008404D8" w:rsidP="00021AC1">
      <w:pPr>
        <w:pStyle w:val="AD"/>
        <w:spacing w:line="276" w:lineRule="auto"/>
      </w:pPr>
      <w:r>
        <w:rPr>
          <w:rFonts w:hint="eastAsia"/>
        </w:rPr>
        <w:t>（六）优化银行跨境电商外汇结算。支持更多的银行按照《国家外汇管理局关于印发</w:t>
      </w:r>
      <w:r>
        <w:rPr>
          <w:rFonts w:hint="eastAsia"/>
        </w:rPr>
        <w:t>&lt;</w:t>
      </w:r>
      <w:r>
        <w:rPr>
          <w:rFonts w:hint="eastAsia"/>
        </w:rPr>
        <w:t>支付机构外汇业务管理办法</w:t>
      </w:r>
      <w:r>
        <w:rPr>
          <w:rFonts w:hint="eastAsia"/>
        </w:rPr>
        <w:t>&gt;</w:t>
      </w:r>
      <w:r>
        <w:rPr>
          <w:rFonts w:hint="eastAsia"/>
        </w:rPr>
        <w:t>的通知》（</w:t>
      </w:r>
      <w:proofErr w:type="gramStart"/>
      <w:r>
        <w:rPr>
          <w:rFonts w:hint="eastAsia"/>
        </w:rPr>
        <w:t>汇发〔</w:t>
      </w:r>
      <w:r>
        <w:rPr>
          <w:rFonts w:hint="eastAsia"/>
        </w:rPr>
        <w:t>2019</w:t>
      </w:r>
      <w:r>
        <w:rPr>
          <w:rFonts w:hint="eastAsia"/>
        </w:rPr>
        <w:t>〕</w:t>
      </w:r>
      <w:proofErr w:type="gramEnd"/>
      <w:r>
        <w:rPr>
          <w:rFonts w:hint="eastAsia"/>
        </w:rPr>
        <w:t>13</w:t>
      </w:r>
      <w:r>
        <w:rPr>
          <w:rFonts w:hint="eastAsia"/>
        </w:rPr>
        <w:t>号），在满足交易信息采集、真实性审核等条件下，</w:t>
      </w:r>
      <w:proofErr w:type="gramStart"/>
      <w:r>
        <w:rPr>
          <w:rFonts w:hint="eastAsia"/>
        </w:rPr>
        <w:t>凭交易</w:t>
      </w:r>
      <w:proofErr w:type="gramEnd"/>
      <w:r>
        <w:rPr>
          <w:rFonts w:hint="eastAsia"/>
        </w:rPr>
        <w:t>电子信息为跨境电子商务市场主体提供结售汇及相关资金收付服务。</w:t>
      </w:r>
    </w:p>
    <w:p w14:paraId="550BF18F" w14:textId="77777777" w:rsidR="008404D8" w:rsidRDefault="008404D8" w:rsidP="00021AC1">
      <w:pPr>
        <w:pStyle w:val="AD"/>
        <w:spacing w:line="276" w:lineRule="auto"/>
      </w:pPr>
    </w:p>
    <w:p w14:paraId="463EE426" w14:textId="77777777" w:rsidR="008404D8" w:rsidRDefault="008404D8" w:rsidP="00021AC1">
      <w:pPr>
        <w:pStyle w:val="AD"/>
        <w:spacing w:line="276" w:lineRule="auto"/>
      </w:pPr>
      <w:r>
        <w:rPr>
          <w:rFonts w:hint="eastAsia"/>
        </w:rPr>
        <w:t>（七）放宽业务审核签注手续。金融机构按规定审核经常项目外汇收支时，可根据内控要求和实际业务需要，按照实质合</w:t>
      </w:r>
      <w:proofErr w:type="gramStart"/>
      <w:r>
        <w:rPr>
          <w:rFonts w:hint="eastAsia"/>
        </w:rPr>
        <w:t>规</w:t>
      </w:r>
      <w:proofErr w:type="gramEnd"/>
      <w:r>
        <w:rPr>
          <w:rFonts w:hint="eastAsia"/>
        </w:rPr>
        <w:t>原则，自主决定是否在单证正本上签注收付汇金额、日期并加盖业务印章，但需按现行规定留存审核材料备查。</w:t>
      </w:r>
    </w:p>
    <w:p w14:paraId="75C3608A" w14:textId="77777777" w:rsidR="008404D8" w:rsidRDefault="008404D8" w:rsidP="00021AC1">
      <w:pPr>
        <w:pStyle w:val="AD"/>
        <w:spacing w:line="276" w:lineRule="auto"/>
      </w:pPr>
    </w:p>
    <w:p w14:paraId="635B8D0F" w14:textId="77777777" w:rsidR="008404D8" w:rsidRDefault="008404D8" w:rsidP="00021AC1">
      <w:pPr>
        <w:pStyle w:val="AD"/>
        <w:spacing w:line="276" w:lineRule="auto"/>
      </w:pPr>
      <w:r>
        <w:rPr>
          <w:rFonts w:hint="eastAsia"/>
        </w:rPr>
        <w:t>（八）支持银行创新金融服务。鼓励银行通过多种方式科学评估企业资信状况，对客观不可控因素造成涉外收付困难的企业区别分类，对发展前景良好的中小微涉外企业在外汇贷款方面给予贷款延期、手续简化等倾斜。支持银行利用数字外管平台开放的企业资信、收付汇率等信息，开展合</w:t>
      </w:r>
      <w:proofErr w:type="gramStart"/>
      <w:r>
        <w:rPr>
          <w:rFonts w:hint="eastAsia"/>
        </w:rPr>
        <w:t>规</w:t>
      </w:r>
      <w:proofErr w:type="gramEnd"/>
      <w:r>
        <w:rPr>
          <w:rFonts w:hint="eastAsia"/>
        </w:rPr>
        <w:t>经营和业务创新，做好对中小微涉外企业的金融服务。</w:t>
      </w:r>
    </w:p>
    <w:p w14:paraId="4A3F6D43" w14:textId="77777777" w:rsidR="008404D8" w:rsidRDefault="008404D8" w:rsidP="00021AC1">
      <w:pPr>
        <w:pStyle w:val="AD"/>
        <w:spacing w:line="276" w:lineRule="auto"/>
      </w:pPr>
    </w:p>
    <w:p w14:paraId="7E4F83FE" w14:textId="77777777" w:rsidR="008404D8" w:rsidRDefault="008404D8" w:rsidP="00021AC1">
      <w:pPr>
        <w:pStyle w:val="AD"/>
        <w:spacing w:line="276" w:lineRule="auto"/>
      </w:pPr>
      <w:r>
        <w:rPr>
          <w:rFonts w:hint="eastAsia"/>
        </w:rPr>
        <w:t>本通知自发布之日起实施（其中，第一条第三款因需升级资本项目信息系统，自</w:t>
      </w:r>
      <w:r>
        <w:rPr>
          <w:rFonts w:hint="eastAsia"/>
        </w:rPr>
        <w:t>2020</w:t>
      </w:r>
      <w:r>
        <w:rPr>
          <w:rFonts w:hint="eastAsia"/>
        </w:rPr>
        <w:t>年</w:t>
      </w:r>
      <w:r>
        <w:rPr>
          <w:rFonts w:hint="eastAsia"/>
        </w:rPr>
        <w:t>6</w:t>
      </w:r>
      <w:r>
        <w:rPr>
          <w:rFonts w:hint="eastAsia"/>
        </w:rPr>
        <w:t>月</w:t>
      </w:r>
      <w:r>
        <w:rPr>
          <w:rFonts w:hint="eastAsia"/>
        </w:rPr>
        <w:t>1</w:t>
      </w:r>
      <w:r>
        <w:rPr>
          <w:rFonts w:hint="eastAsia"/>
        </w:rPr>
        <w:t>日起实施）。以前规定与本通知不符的，以本通知为准。国家外汇管理局各分局、外汇管理部接到本通知后，应及时转发辖内中心支局、支局、城市商业银行、农村商业银行、外资银行、农村合作银行；各全国性中资银行接到本通知后，应及时转发所辖分支机构。执行中如遇问题，请及时向国家外汇管理局反馈。</w:t>
      </w:r>
    </w:p>
    <w:p w14:paraId="4B87B39D" w14:textId="77777777" w:rsidR="008404D8" w:rsidRDefault="008404D8" w:rsidP="00021AC1">
      <w:pPr>
        <w:pStyle w:val="AD"/>
        <w:spacing w:line="276" w:lineRule="auto"/>
      </w:pPr>
    </w:p>
    <w:p w14:paraId="3002701E" w14:textId="77777777" w:rsidR="008404D8" w:rsidRDefault="008404D8" w:rsidP="00021AC1">
      <w:pPr>
        <w:pStyle w:val="AD"/>
        <w:spacing w:line="276" w:lineRule="auto"/>
      </w:pPr>
      <w:r>
        <w:rPr>
          <w:rFonts w:hint="eastAsia"/>
        </w:rPr>
        <w:t>特此通知。</w:t>
      </w:r>
    </w:p>
    <w:p w14:paraId="550C0AF5" w14:textId="77777777" w:rsidR="002D31CA" w:rsidRDefault="002D31CA" w:rsidP="00021AC1">
      <w:pPr>
        <w:pStyle w:val="AD"/>
        <w:spacing w:line="276" w:lineRule="auto"/>
      </w:pPr>
    </w:p>
    <w:p w14:paraId="5BFDD60F" w14:textId="204A14C8" w:rsidR="008404D8" w:rsidRDefault="008404D8" w:rsidP="00021AC1">
      <w:pPr>
        <w:pStyle w:val="AD"/>
        <w:spacing w:line="276" w:lineRule="auto"/>
        <w:jc w:val="right"/>
      </w:pPr>
      <w:r>
        <w:rPr>
          <w:rFonts w:hint="eastAsia"/>
        </w:rPr>
        <w:t>国家外汇管理局</w:t>
      </w:r>
    </w:p>
    <w:p w14:paraId="791A5A31" w14:textId="0F65C111" w:rsidR="00B15193" w:rsidRDefault="008404D8" w:rsidP="00021AC1">
      <w:pPr>
        <w:pStyle w:val="AD"/>
        <w:spacing w:line="276" w:lineRule="auto"/>
        <w:jc w:val="right"/>
      </w:pPr>
      <w:r>
        <w:rPr>
          <w:rFonts w:hint="eastAsia"/>
        </w:rPr>
        <w:t>2020</w:t>
      </w:r>
      <w:r>
        <w:rPr>
          <w:rFonts w:hint="eastAsia"/>
        </w:rPr>
        <w:t>年</w:t>
      </w:r>
      <w:r>
        <w:rPr>
          <w:rFonts w:hint="eastAsia"/>
        </w:rPr>
        <w:t>4</w:t>
      </w:r>
      <w:r>
        <w:rPr>
          <w:rFonts w:hint="eastAsia"/>
        </w:rPr>
        <w:t>月</w:t>
      </w:r>
      <w:r>
        <w:rPr>
          <w:rFonts w:hint="eastAsia"/>
        </w:rPr>
        <w:t>10</w:t>
      </w:r>
      <w:r>
        <w:rPr>
          <w:rFonts w:hint="eastAsia"/>
        </w:rPr>
        <w:t>日</w:t>
      </w:r>
    </w:p>
    <w:p w14:paraId="4DAC57C8" w14:textId="67B06CBE" w:rsidR="008404D8" w:rsidRDefault="008404D8" w:rsidP="00021AC1">
      <w:pPr>
        <w:pStyle w:val="AD"/>
        <w:spacing w:line="276" w:lineRule="auto"/>
      </w:pPr>
    </w:p>
    <w:p w14:paraId="7648B419" w14:textId="5E3225AE" w:rsidR="008404D8" w:rsidRDefault="008404D8" w:rsidP="00021AC1">
      <w:pPr>
        <w:pStyle w:val="AD"/>
        <w:spacing w:line="276" w:lineRule="auto"/>
      </w:pPr>
    </w:p>
    <w:p w14:paraId="44DC7521" w14:textId="08474923" w:rsidR="008404D8" w:rsidRDefault="008404D8" w:rsidP="00021AC1">
      <w:pPr>
        <w:pStyle w:val="AD"/>
        <w:spacing w:line="276" w:lineRule="auto"/>
        <w:rPr>
          <w:rStyle w:val="a9"/>
        </w:rPr>
      </w:pPr>
      <w:r>
        <w:rPr>
          <w:rFonts w:hint="eastAsia"/>
        </w:rPr>
        <w:t>信息来源：</w:t>
      </w:r>
      <w:hyperlink r:id="rId6" w:history="1">
        <w:r>
          <w:rPr>
            <w:rStyle w:val="a9"/>
          </w:rPr>
          <w:t>http://www.safe.gov.cn/safe/2020/0414/15970.html</w:t>
        </w:r>
      </w:hyperlink>
    </w:p>
    <w:p w14:paraId="31CD6A3B" w14:textId="77777777" w:rsidR="001B13FA" w:rsidRPr="001B13FA" w:rsidRDefault="001B13FA" w:rsidP="00021AC1">
      <w:pPr>
        <w:pStyle w:val="AD"/>
        <w:spacing w:line="276" w:lineRule="auto"/>
      </w:pPr>
    </w:p>
    <w:sectPr w:rsidR="001B13FA" w:rsidRPr="001B13F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9198C" w14:textId="77777777" w:rsidR="00503370" w:rsidRDefault="00503370" w:rsidP="00C20A6A">
      <w:pPr>
        <w:spacing w:line="240" w:lineRule="auto"/>
      </w:pPr>
      <w:r>
        <w:separator/>
      </w:r>
    </w:p>
  </w:endnote>
  <w:endnote w:type="continuationSeparator" w:id="0">
    <w:p w14:paraId="59B4E618" w14:textId="77777777" w:rsidR="00503370" w:rsidRDefault="0050337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787EF" w14:textId="77777777" w:rsidR="00503370" w:rsidRDefault="00503370" w:rsidP="00C20A6A">
      <w:pPr>
        <w:spacing w:line="240" w:lineRule="auto"/>
      </w:pPr>
      <w:r>
        <w:separator/>
      </w:r>
    </w:p>
  </w:footnote>
  <w:footnote w:type="continuationSeparator" w:id="0">
    <w:p w14:paraId="77EEB442" w14:textId="77777777" w:rsidR="00503370" w:rsidRDefault="0050337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04FA8"/>
    <w:rsid w:val="00021AC1"/>
    <w:rsid w:val="000F4C6A"/>
    <w:rsid w:val="001239C1"/>
    <w:rsid w:val="00176A25"/>
    <w:rsid w:val="001B13FA"/>
    <w:rsid w:val="001C4C6F"/>
    <w:rsid w:val="002D31CA"/>
    <w:rsid w:val="00304FA8"/>
    <w:rsid w:val="003D27E2"/>
    <w:rsid w:val="00503370"/>
    <w:rsid w:val="005F7C76"/>
    <w:rsid w:val="0062676F"/>
    <w:rsid w:val="007D7BDB"/>
    <w:rsid w:val="008404D8"/>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FE7A0"/>
  <w15:chartTrackingRefBased/>
  <w15:docId w15:val="{F48BFDA7-A8EF-405C-B1C7-3C0379B3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8404D8"/>
    <w:pPr>
      <w:ind w:leftChars="2500" w:left="100"/>
    </w:pPr>
  </w:style>
  <w:style w:type="character" w:customStyle="1" w:styleId="a8">
    <w:name w:val="日期 字符"/>
    <w:basedOn w:val="a0"/>
    <w:link w:val="a7"/>
    <w:uiPriority w:val="99"/>
    <w:semiHidden/>
    <w:rsid w:val="008404D8"/>
    <w:rPr>
      <w:rFonts w:ascii="Arial" w:eastAsia="宋体" w:hAnsi="Arial"/>
      <w:sz w:val="22"/>
    </w:rPr>
  </w:style>
  <w:style w:type="character" w:styleId="a9">
    <w:name w:val="Hyperlink"/>
    <w:basedOn w:val="a0"/>
    <w:uiPriority w:val="99"/>
    <w:semiHidden/>
    <w:unhideWhenUsed/>
    <w:rsid w:val="008404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fe.gov.cn/safe/2020/0414/15970.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2020-04-16T13:14:00Z</dcterms:created>
  <dcterms:modified xsi:type="dcterms:W3CDTF">2020-04-17T04:02:00Z</dcterms:modified>
</cp:coreProperties>
</file>