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44901" w14:textId="77777777" w:rsidR="001036F0" w:rsidRPr="00654298" w:rsidRDefault="001036F0" w:rsidP="00654298">
      <w:pPr>
        <w:pStyle w:val="AD"/>
        <w:spacing w:line="276" w:lineRule="auto"/>
        <w:jc w:val="center"/>
        <w:rPr>
          <w:b/>
          <w:bCs/>
          <w:color w:val="E36C0A" w:themeColor="accent6" w:themeShade="BF"/>
          <w:sz w:val="32"/>
          <w:szCs w:val="32"/>
        </w:rPr>
      </w:pPr>
      <w:r w:rsidRPr="00654298">
        <w:rPr>
          <w:rFonts w:hint="eastAsia"/>
          <w:b/>
          <w:bCs/>
          <w:color w:val="E36C0A" w:themeColor="accent6" w:themeShade="BF"/>
          <w:sz w:val="32"/>
          <w:szCs w:val="32"/>
        </w:rPr>
        <w:t>关于进一步完善委派调解机制的指导意见</w:t>
      </w:r>
    </w:p>
    <w:p w14:paraId="10819371" w14:textId="77777777" w:rsidR="001036F0" w:rsidRDefault="001036F0" w:rsidP="00654298">
      <w:pPr>
        <w:pStyle w:val="AD"/>
        <w:spacing w:line="276" w:lineRule="auto"/>
      </w:pPr>
    </w:p>
    <w:p w14:paraId="28EC1DEE" w14:textId="77777777" w:rsidR="001036F0" w:rsidRDefault="001036F0" w:rsidP="00654298">
      <w:pPr>
        <w:pStyle w:val="AD"/>
        <w:spacing w:line="276" w:lineRule="auto"/>
      </w:pPr>
      <w:r>
        <w:rPr>
          <w:rFonts w:hint="eastAsia"/>
        </w:rPr>
        <w:t xml:space="preserve">　　为贯彻落实党的十九届四中全会精神，推进国家治理体系和治理能力现代化，深化司法体制综合配套改革，完善多元化纠纷解决机制，进一步加强和规范委派调解工作，根据《中华人民共和国民事诉讼法》《中华人民共和国行政诉讼法》《最高人民法院关于人民法院特邀调解的规定》等法律和司法解释规定，结合人民法院工作实际，提出如下指导意见。</w:t>
      </w:r>
    </w:p>
    <w:p w14:paraId="0544FC25" w14:textId="77777777" w:rsidR="001036F0" w:rsidRDefault="001036F0" w:rsidP="00654298">
      <w:pPr>
        <w:pStyle w:val="AD"/>
        <w:spacing w:line="276" w:lineRule="auto"/>
      </w:pPr>
    </w:p>
    <w:p w14:paraId="4289D243" w14:textId="77777777" w:rsidR="001036F0" w:rsidRDefault="001036F0" w:rsidP="00654298">
      <w:pPr>
        <w:pStyle w:val="AD"/>
        <w:spacing w:line="276" w:lineRule="auto"/>
      </w:pPr>
      <w:r>
        <w:rPr>
          <w:rFonts w:hint="eastAsia"/>
        </w:rPr>
        <w:t xml:space="preserve">　　一、指导思想。以习近平新时代中国特色社会主义思想为指导，坚持和发展新时代“枫桥经验”，</w:t>
      </w:r>
      <w:proofErr w:type="gramStart"/>
      <w:r>
        <w:rPr>
          <w:rFonts w:hint="eastAsia"/>
        </w:rPr>
        <w:t>完善诉源治理</w:t>
      </w:r>
      <w:proofErr w:type="gramEnd"/>
      <w:r>
        <w:rPr>
          <w:rFonts w:hint="eastAsia"/>
        </w:rPr>
        <w:t>机制，切实把非诉讼纠纷解决机制挺在前面，满足广大人民群众多元、高效、便捷的解纷需求。坚持依法、自愿、依程序原则开展委派调解工作，不断推动完善党委领导、政府负责、民主协商、社会协同、公众参与、法治保障、科技支撑的社会治理体系，建设人人有责、人人尽责、人人享有的社会治理共同体。</w:t>
      </w:r>
    </w:p>
    <w:p w14:paraId="3C541E5F" w14:textId="77777777" w:rsidR="001036F0" w:rsidRDefault="001036F0" w:rsidP="00654298">
      <w:pPr>
        <w:pStyle w:val="AD"/>
        <w:spacing w:line="276" w:lineRule="auto"/>
      </w:pPr>
    </w:p>
    <w:p w14:paraId="021DE7AD" w14:textId="77777777" w:rsidR="001036F0" w:rsidRDefault="001036F0" w:rsidP="00654298">
      <w:pPr>
        <w:pStyle w:val="AD"/>
        <w:spacing w:line="276" w:lineRule="auto"/>
      </w:pPr>
      <w:r>
        <w:rPr>
          <w:rFonts w:hint="eastAsia"/>
        </w:rPr>
        <w:t xml:space="preserve">　　二、调解范围。对于涉及民生利益的纠纷，除依法不适宜调解的，人民法院可以委派特邀调解组织或者特邀调解员开展调解。对于物业管理、交通事故赔偿、消费者权益保护、医疗损害赔偿等类型化纠纷，人民法院要发挥委派调解的示范作用，促进批量、有效化解纠纷。</w:t>
      </w:r>
    </w:p>
    <w:p w14:paraId="504D7E0F" w14:textId="77777777" w:rsidR="001036F0" w:rsidRDefault="001036F0" w:rsidP="00654298">
      <w:pPr>
        <w:pStyle w:val="AD"/>
        <w:spacing w:line="276" w:lineRule="auto"/>
      </w:pPr>
    </w:p>
    <w:p w14:paraId="47E9F7B8" w14:textId="77777777" w:rsidR="001036F0" w:rsidRDefault="001036F0" w:rsidP="00654298">
      <w:pPr>
        <w:pStyle w:val="AD"/>
        <w:spacing w:line="276" w:lineRule="auto"/>
      </w:pPr>
      <w:r>
        <w:rPr>
          <w:rFonts w:hint="eastAsia"/>
        </w:rPr>
        <w:t xml:space="preserve">　　三、专业解纷。人民法院应当加强与相关部门的对接，充分发挥行政机关在行政调解、行政裁决机制上的优势，发挥行业性、专业性调解组织的专业优势，发挥公证、鉴定机构和相关领域专家咨询意见的作用，为纠纷化解提供专业支持，提升委派调解专业化水平。</w:t>
      </w:r>
    </w:p>
    <w:p w14:paraId="75D11865" w14:textId="77777777" w:rsidR="001036F0" w:rsidRDefault="001036F0" w:rsidP="00654298">
      <w:pPr>
        <w:pStyle w:val="AD"/>
        <w:spacing w:line="276" w:lineRule="auto"/>
      </w:pPr>
    </w:p>
    <w:p w14:paraId="71A1D0A0" w14:textId="77777777" w:rsidR="001036F0" w:rsidRDefault="001036F0" w:rsidP="00654298">
      <w:pPr>
        <w:pStyle w:val="AD"/>
        <w:spacing w:line="276" w:lineRule="auto"/>
      </w:pPr>
      <w:r>
        <w:rPr>
          <w:rFonts w:hint="eastAsia"/>
        </w:rPr>
        <w:t xml:space="preserve">　　四、引导告知。对于当事人起诉到人民法院的纠纷，经当事人申请或者人民法院引导后当事人同意调解的，人民法院可以在登记立案前，委派特邀调解组织或者特邀调解员进行调解，并由当事人签署《委派调解告知书》。当事人不同意调解的，应在收到《委派调解告知书》时签署明确意见。人民法院收到当事人不同意委派调解的书面材料后，应当及时将案件转入诉讼程序。</w:t>
      </w:r>
    </w:p>
    <w:p w14:paraId="67CD86BB" w14:textId="77777777" w:rsidR="001036F0" w:rsidRDefault="001036F0" w:rsidP="00654298">
      <w:pPr>
        <w:pStyle w:val="AD"/>
        <w:spacing w:line="276" w:lineRule="auto"/>
      </w:pPr>
    </w:p>
    <w:p w14:paraId="52B69078" w14:textId="77777777" w:rsidR="001036F0" w:rsidRDefault="001036F0" w:rsidP="00654298">
      <w:pPr>
        <w:pStyle w:val="AD"/>
        <w:spacing w:line="276" w:lineRule="auto"/>
      </w:pPr>
      <w:r>
        <w:rPr>
          <w:rFonts w:hint="eastAsia"/>
        </w:rPr>
        <w:t xml:space="preserve">　　五、立案管辖。委派调解案件，</w:t>
      </w:r>
      <w:proofErr w:type="gramStart"/>
      <w:r>
        <w:rPr>
          <w:rFonts w:hint="eastAsia"/>
        </w:rPr>
        <w:t>编立“诉前调”</w:t>
      </w:r>
      <w:proofErr w:type="gramEnd"/>
      <w:r>
        <w:rPr>
          <w:rFonts w:hint="eastAsia"/>
        </w:rPr>
        <w:t>字号，在三日内将起诉材料转交特邀调解组织或者特邀调解员开展调解。涉及管辖权争议的，先立“诉前调”字号的法院视为最先立案的人民法院。</w:t>
      </w:r>
    </w:p>
    <w:p w14:paraId="40D131F2" w14:textId="77777777" w:rsidR="001036F0" w:rsidRDefault="001036F0" w:rsidP="00654298">
      <w:pPr>
        <w:pStyle w:val="AD"/>
        <w:spacing w:line="276" w:lineRule="auto"/>
      </w:pPr>
    </w:p>
    <w:p w14:paraId="3475EF66" w14:textId="77777777" w:rsidR="001036F0" w:rsidRDefault="001036F0" w:rsidP="00654298">
      <w:pPr>
        <w:pStyle w:val="AD"/>
        <w:spacing w:line="276" w:lineRule="auto"/>
      </w:pPr>
      <w:r>
        <w:rPr>
          <w:rFonts w:hint="eastAsia"/>
        </w:rPr>
        <w:t xml:space="preserve">　　六、司法保障。人民法院要积极为行政机关、人民调解委员会、社会综合治理中心、矛盾纠纷调处中心以及其他接受委派的调解组织开展调解工作提供必要的司法保障。</w:t>
      </w:r>
    </w:p>
    <w:p w14:paraId="2B6DF7C5" w14:textId="77777777" w:rsidR="001036F0" w:rsidRDefault="001036F0" w:rsidP="00654298">
      <w:pPr>
        <w:pStyle w:val="AD"/>
        <w:spacing w:line="276" w:lineRule="auto"/>
      </w:pPr>
    </w:p>
    <w:p w14:paraId="34C700A2" w14:textId="77777777" w:rsidR="001036F0" w:rsidRDefault="001036F0" w:rsidP="00654298">
      <w:pPr>
        <w:pStyle w:val="AD"/>
        <w:spacing w:line="276" w:lineRule="auto"/>
      </w:pPr>
      <w:r>
        <w:rPr>
          <w:rFonts w:hint="eastAsia"/>
        </w:rPr>
        <w:t xml:space="preserve">　　七、鉴定评估。探索开展诉前鉴定评估。对于交通事故赔偿、医疗损害赔偿以及其他侵权责任纠纷，通过鉴定评估能够促成双方调解的，经当事人申请后特邀调解组织或者特邀调解员应当报请人民法院同意，由人民法院依程序组织鉴定或者评估。委派调解中的鉴定、评估期间，不计入委派调解的期限。</w:t>
      </w:r>
    </w:p>
    <w:p w14:paraId="517005F1" w14:textId="77777777" w:rsidR="001036F0" w:rsidRDefault="001036F0" w:rsidP="00654298">
      <w:pPr>
        <w:pStyle w:val="AD"/>
        <w:spacing w:line="276" w:lineRule="auto"/>
      </w:pPr>
    </w:p>
    <w:p w14:paraId="51A0C624" w14:textId="77777777" w:rsidR="001036F0" w:rsidRDefault="001036F0" w:rsidP="00654298">
      <w:pPr>
        <w:pStyle w:val="AD"/>
        <w:spacing w:line="276" w:lineRule="auto"/>
      </w:pPr>
      <w:r>
        <w:rPr>
          <w:rFonts w:hint="eastAsia"/>
        </w:rPr>
        <w:lastRenderedPageBreak/>
        <w:t xml:space="preserve">　　八、材料衔接。完善调解与诉讼的材料衔接机制。委派调解中已经明确告知当事人相关权利和法律后果，并经当事人同意的调解材料，经人民法院审查，符合法律及司法解释规定的，可以作为诉讼材料使用。</w:t>
      </w:r>
    </w:p>
    <w:p w14:paraId="1FDE39E2" w14:textId="77777777" w:rsidR="001036F0" w:rsidRDefault="001036F0" w:rsidP="00654298">
      <w:pPr>
        <w:pStyle w:val="AD"/>
        <w:spacing w:line="276" w:lineRule="auto"/>
      </w:pPr>
    </w:p>
    <w:p w14:paraId="2B5F4EAC" w14:textId="77777777" w:rsidR="001036F0" w:rsidRDefault="001036F0" w:rsidP="00654298">
      <w:pPr>
        <w:pStyle w:val="AD"/>
        <w:spacing w:line="276" w:lineRule="auto"/>
      </w:pPr>
      <w:r>
        <w:rPr>
          <w:rFonts w:hint="eastAsia"/>
        </w:rPr>
        <w:t xml:space="preserve">　　九、调解期限。人民法院委派调解的期限为</w:t>
      </w:r>
      <w:r>
        <w:rPr>
          <w:rFonts w:hint="eastAsia"/>
        </w:rPr>
        <w:t>30</w:t>
      </w:r>
      <w:r>
        <w:rPr>
          <w:rFonts w:hint="eastAsia"/>
        </w:rPr>
        <w:t>日。经双方当事人同意，可以延长调解期限。委派调解期限自特邀调解组织或者特邀调解员确认接收法院移交材料之日起计算。未能在期限内达成协议或者当事人明确拒绝继续调解的，应当依法及时转入诉讼程序。</w:t>
      </w:r>
    </w:p>
    <w:p w14:paraId="0259DF79" w14:textId="77777777" w:rsidR="001036F0" w:rsidRDefault="001036F0" w:rsidP="00654298">
      <w:pPr>
        <w:pStyle w:val="AD"/>
        <w:spacing w:line="276" w:lineRule="auto"/>
      </w:pPr>
    </w:p>
    <w:p w14:paraId="4CDEE745" w14:textId="77777777" w:rsidR="001036F0" w:rsidRDefault="001036F0" w:rsidP="00654298">
      <w:pPr>
        <w:pStyle w:val="AD"/>
        <w:spacing w:line="276" w:lineRule="auto"/>
      </w:pPr>
      <w:r>
        <w:rPr>
          <w:rFonts w:hint="eastAsia"/>
        </w:rPr>
        <w:t xml:space="preserve">　　十、结案报告。委派调解案件因调解不成终止的，接受委派的特邀调解员应当出具结案报告，与相关调解材料一并移交人民法院。结案报告应当载明终止调解的原因、案件争议焦点、当事人交换证据情况、无争议事实记载、导致其他当事人诉讼成本增加的行为以及其他需要向法院提示的情况等内容，对涉及的专业性问题可以在结案报告中提出明确意见。</w:t>
      </w:r>
    </w:p>
    <w:p w14:paraId="1E5B1265" w14:textId="77777777" w:rsidR="001036F0" w:rsidRDefault="001036F0" w:rsidP="00654298">
      <w:pPr>
        <w:pStyle w:val="AD"/>
        <w:spacing w:line="276" w:lineRule="auto"/>
      </w:pPr>
    </w:p>
    <w:p w14:paraId="26DD6C62" w14:textId="77777777" w:rsidR="001036F0" w:rsidRDefault="001036F0" w:rsidP="00654298">
      <w:pPr>
        <w:pStyle w:val="AD"/>
        <w:spacing w:line="276" w:lineRule="auto"/>
      </w:pPr>
      <w:r>
        <w:rPr>
          <w:rFonts w:hint="eastAsia"/>
        </w:rPr>
        <w:t xml:space="preserve">　　十一、协议履行。当事人经委派调解达成调解协议的，应当遵照诚实信用原则，及时、充分履行协议约定的内容。当事人向</w:t>
      </w:r>
      <w:proofErr w:type="gramStart"/>
      <w:r>
        <w:rPr>
          <w:rFonts w:hint="eastAsia"/>
        </w:rPr>
        <w:t>作出</w:t>
      </w:r>
      <w:proofErr w:type="gramEnd"/>
      <w:r>
        <w:rPr>
          <w:rFonts w:hint="eastAsia"/>
        </w:rPr>
        <w:t>委派调解的人民法院申请司法确认的，人民法院应当依法受理。</w:t>
      </w:r>
    </w:p>
    <w:p w14:paraId="1793AE37" w14:textId="77777777" w:rsidR="001036F0" w:rsidRDefault="001036F0" w:rsidP="00654298">
      <w:pPr>
        <w:pStyle w:val="AD"/>
        <w:spacing w:line="276" w:lineRule="auto"/>
      </w:pPr>
    </w:p>
    <w:p w14:paraId="178F39D1" w14:textId="77777777" w:rsidR="001036F0" w:rsidRDefault="001036F0" w:rsidP="00654298">
      <w:pPr>
        <w:pStyle w:val="AD"/>
        <w:spacing w:line="276" w:lineRule="auto"/>
      </w:pPr>
      <w:r>
        <w:rPr>
          <w:rFonts w:hint="eastAsia"/>
        </w:rPr>
        <w:t xml:space="preserve">　　十二、惩戒机制。对于当事人滥用权利、违反诚信原则、故意阻碍调解等导致其他当事人诉讼成本增加的行为，人民法院可以酌情增加其诉讼费用的负担部分。无过错一方当事人提出赔偿诉前调解额外支出请求的，人民法院可以酌情支持。</w:t>
      </w:r>
    </w:p>
    <w:p w14:paraId="6CA9C57D" w14:textId="77777777" w:rsidR="001036F0" w:rsidRDefault="001036F0" w:rsidP="00654298">
      <w:pPr>
        <w:pStyle w:val="AD"/>
        <w:spacing w:line="276" w:lineRule="auto"/>
      </w:pPr>
    </w:p>
    <w:p w14:paraId="480A3FF3" w14:textId="77777777" w:rsidR="001036F0" w:rsidRDefault="001036F0" w:rsidP="00654298">
      <w:pPr>
        <w:pStyle w:val="AD"/>
        <w:spacing w:line="276" w:lineRule="auto"/>
      </w:pPr>
      <w:r>
        <w:rPr>
          <w:rFonts w:hint="eastAsia"/>
        </w:rPr>
        <w:t xml:space="preserve">　　十三、指导监督。人民法院应当指派法官指导委派调解工作，规范调解行为，提升调解质量。法官对调解过程中存在违规行为的特邀调解员，可以通过批评教育、责令改正等方式监督。特邀调解组织或者特邀调解员无法胜任职务的，人民法院应当根据有关规定将其从特邀调解名册中移除。</w:t>
      </w:r>
    </w:p>
    <w:p w14:paraId="4C442AB6" w14:textId="77777777" w:rsidR="001036F0" w:rsidRDefault="001036F0" w:rsidP="00654298">
      <w:pPr>
        <w:pStyle w:val="AD"/>
        <w:spacing w:line="276" w:lineRule="auto"/>
      </w:pPr>
    </w:p>
    <w:p w14:paraId="6E27755C" w14:textId="77777777" w:rsidR="001036F0" w:rsidRDefault="001036F0" w:rsidP="00654298">
      <w:pPr>
        <w:pStyle w:val="AD"/>
        <w:spacing w:line="276" w:lineRule="auto"/>
      </w:pPr>
      <w:r>
        <w:rPr>
          <w:rFonts w:hint="eastAsia"/>
        </w:rPr>
        <w:t xml:space="preserve">　　十四、平台建设。人民法院要加强调解平台的建设、应用和推广，加强调解平台与其他机构调解平台的对接，完善诉讼与非诉讼纠纷解决方式对接机制，实现调解案件网上办理、调解数据网上流转、调解信息网上共享，全面提升多元解纷能力。</w:t>
      </w:r>
    </w:p>
    <w:p w14:paraId="7ACE442D" w14:textId="77777777" w:rsidR="001036F0" w:rsidRDefault="001036F0" w:rsidP="00654298">
      <w:pPr>
        <w:pStyle w:val="AD"/>
        <w:spacing w:line="276" w:lineRule="auto"/>
      </w:pPr>
    </w:p>
    <w:p w14:paraId="561A78FE" w14:textId="77777777" w:rsidR="001036F0" w:rsidRDefault="001036F0" w:rsidP="00654298">
      <w:pPr>
        <w:pStyle w:val="AD"/>
        <w:spacing w:line="276" w:lineRule="auto"/>
      </w:pPr>
      <w:r>
        <w:rPr>
          <w:rFonts w:hint="eastAsia"/>
        </w:rPr>
        <w:t xml:space="preserve">　　十五、数据利用。充分利用人民法院大数据管理和服务平台、人民法院调解平台的数据资源，健全完善委派调解案件管理系统，为指导委派调解的法官业绩考评提供数据支持，为人民法院审判管理提供统计依据。强化</w:t>
      </w:r>
      <w:proofErr w:type="gramStart"/>
      <w:r>
        <w:rPr>
          <w:rFonts w:hint="eastAsia"/>
        </w:rPr>
        <w:t>司法大</w:t>
      </w:r>
      <w:proofErr w:type="gramEnd"/>
      <w:r>
        <w:rPr>
          <w:rFonts w:hint="eastAsia"/>
        </w:rPr>
        <w:t>数据的监测预警功能，健全矛盾纠纷风险</w:t>
      </w:r>
      <w:proofErr w:type="gramStart"/>
      <w:r>
        <w:rPr>
          <w:rFonts w:hint="eastAsia"/>
        </w:rPr>
        <w:t>研</w:t>
      </w:r>
      <w:proofErr w:type="gramEnd"/>
      <w:r>
        <w:rPr>
          <w:rFonts w:hint="eastAsia"/>
        </w:rPr>
        <w:t>判机制，为党委政府提供决策参考。</w:t>
      </w:r>
    </w:p>
    <w:p w14:paraId="50A091D9" w14:textId="77777777" w:rsidR="001036F0" w:rsidRDefault="001036F0" w:rsidP="00654298">
      <w:pPr>
        <w:pStyle w:val="AD"/>
        <w:spacing w:line="276" w:lineRule="auto"/>
      </w:pPr>
    </w:p>
    <w:p w14:paraId="3B08090D" w14:textId="77777777" w:rsidR="001036F0" w:rsidRDefault="001036F0" w:rsidP="00654298">
      <w:pPr>
        <w:pStyle w:val="AD"/>
        <w:spacing w:line="276" w:lineRule="auto"/>
      </w:pPr>
      <w:r>
        <w:rPr>
          <w:rFonts w:hint="eastAsia"/>
        </w:rPr>
        <w:t xml:space="preserve">　　十六、激励机制。加大委派调解在绩效考评体系中的权重，细化激励机制配套细则和工作方案。对于促成当事人自动履行调解协议的调解法官、特邀调解员，通过绩效考核给予奖励激励；对于在调解工作中有显著成绩或者有其他突出事迹的调解组织和调解员，按照国家规定给予表彰奖励，并将有关工作情况作为其他各类评先评优的重要依据，最大限度调动调解法官、</w:t>
      </w:r>
      <w:r>
        <w:rPr>
          <w:rFonts w:hint="eastAsia"/>
        </w:rPr>
        <w:lastRenderedPageBreak/>
        <w:t>特邀调解组织、特邀调解员等各类调解主体的工作积极性。</w:t>
      </w:r>
    </w:p>
    <w:p w14:paraId="3E4FFBAF" w14:textId="77777777" w:rsidR="001036F0" w:rsidRDefault="001036F0" w:rsidP="00654298">
      <w:pPr>
        <w:pStyle w:val="AD"/>
        <w:spacing w:line="276" w:lineRule="auto"/>
      </w:pPr>
    </w:p>
    <w:p w14:paraId="0B60D67D" w14:textId="121A9835" w:rsidR="00B15193" w:rsidRDefault="001036F0" w:rsidP="00654298">
      <w:pPr>
        <w:pStyle w:val="AD"/>
        <w:spacing w:line="276" w:lineRule="auto"/>
      </w:pPr>
      <w:r>
        <w:rPr>
          <w:rFonts w:hint="eastAsia"/>
        </w:rPr>
        <w:t xml:space="preserve">　　十七、保障机制。积极争取当地党委和政府支持，进一步提高委派调解工作人员、场所、设施和经费等配套保障水平，加强人员培训管理。</w:t>
      </w:r>
    </w:p>
    <w:p w14:paraId="214DED85" w14:textId="459DBDA4" w:rsidR="001036F0" w:rsidRDefault="001036F0" w:rsidP="00654298">
      <w:pPr>
        <w:pStyle w:val="AD"/>
        <w:spacing w:line="276" w:lineRule="auto"/>
      </w:pPr>
    </w:p>
    <w:p w14:paraId="4F810A81" w14:textId="247CCD1C" w:rsidR="001036F0" w:rsidRDefault="001036F0" w:rsidP="00654298">
      <w:pPr>
        <w:pStyle w:val="AD"/>
        <w:spacing w:line="276" w:lineRule="auto"/>
      </w:pPr>
    </w:p>
    <w:p w14:paraId="62D56145" w14:textId="21DFB059" w:rsidR="001036F0" w:rsidRDefault="001036F0" w:rsidP="00654298">
      <w:pPr>
        <w:pStyle w:val="AD"/>
        <w:spacing w:line="276" w:lineRule="auto"/>
        <w:rPr>
          <w:rStyle w:val="a7"/>
        </w:rPr>
      </w:pPr>
      <w:r>
        <w:rPr>
          <w:rFonts w:hint="eastAsia"/>
        </w:rPr>
        <w:t>信息来源：</w:t>
      </w:r>
      <w:hyperlink r:id="rId6" w:history="1">
        <w:r>
          <w:rPr>
            <w:rStyle w:val="a7"/>
          </w:rPr>
          <w:t>http://www.court.gov.cn/fabu-xiangqing-218511.html</w:t>
        </w:r>
      </w:hyperlink>
    </w:p>
    <w:p w14:paraId="1D7D0307" w14:textId="77777777" w:rsidR="001B66CC" w:rsidRPr="001B66CC" w:rsidRDefault="001B66CC" w:rsidP="00654298">
      <w:pPr>
        <w:pStyle w:val="AD"/>
        <w:spacing w:line="276" w:lineRule="auto"/>
      </w:pPr>
      <w:bookmarkStart w:id="0" w:name="_GoBack"/>
      <w:bookmarkEnd w:id="0"/>
    </w:p>
    <w:sectPr w:rsidR="001B66CC" w:rsidRPr="001B66C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DE762" w14:textId="77777777" w:rsidR="00577782" w:rsidRDefault="00577782" w:rsidP="00C20A6A">
      <w:pPr>
        <w:spacing w:line="240" w:lineRule="auto"/>
      </w:pPr>
      <w:r>
        <w:separator/>
      </w:r>
    </w:p>
  </w:endnote>
  <w:endnote w:type="continuationSeparator" w:id="0">
    <w:p w14:paraId="3F1B0D3E" w14:textId="77777777" w:rsidR="00577782" w:rsidRDefault="0057778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FA1ED" w14:textId="77777777" w:rsidR="00577782" w:rsidRDefault="00577782" w:rsidP="00C20A6A">
      <w:pPr>
        <w:spacing w:line="240" w:lineRule="auto"/>
      </w:pPr>
      <w:r>
        <w:separator/>
      </w:r>
    </w:p>
  </w:footnote>
  <w:footnote w:type="continuationSeparator" w:id="0">
    <w:p w14:paraId="313A552C" w14:textId="77777777" w:rsidR="00577782" w:rsidRDefault="0057778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0BB9"/>
    <w:rsid w:val="000F4C6A"/>
    <w:rsid w:val="001036F0"/>
    <w:rsid w:val="00176A25"/>
    <w:rsid w:val="001B66CC"/>
    <w:rsid w:val="001C4C6F"/>
    <w:rsid w:val="003D27E2"/>
    <w:rsid w:val="00577782"/>
    <w:rsid w:val="005F7C76"/>
    <w:rsid w:val="00654298"/>
    <w:rsid w:val="007D7BDB"/>
    <w:rsid w:val="00907935"/>
    <w:rsid w:val="00A548E7"/>
    <w:rsid w:val="00B15193"/>
    <w:rsid w:val="00B731F1"/>
    <w:rsid w:val="00C20A6A"/>
    <w:rsid w:val="00C22624"/>
    <w:rsid w:val="00D02718"/>
    <w:rsid w:val="00F00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8DEDE"/>
  <w15:chartTrackingRefBased/>
  <w15:docId w15:val="{B73C712C-7B7D-4035-88A8-3EFCA5DE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103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1851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2020-02-14T02:12:00Z</dcterms:created>
  <dcterms:modified xsi:type="dcterms:W3CDTF">2020-04-02T09:05:00Z</dcterms:modified>
</cp:coreProperties>
</file>