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0B492" w14:textId="77777777" w:rsidR="00402122" w:rsidRPr="00ED1FA0" w:rsidRDefault="00402122" w:rsidP="00ED1FA0">
      <w:pPr>
        <w:pStyle w:val="AD"/>
        <w:jc w:val="center"/>
        <w:rPr>
          <w:b/>
          <w:bCs/>
          <w:color w:val="E36C0A" w:themeColor="accent6" w:themeShade="BF"/>
          <w:sz w:val="32"/>
          <w:szCs w:val="32"/>
        </w:rPr>
      </w:pPr>
      <w:r w:rsidRPr="00ED1FA0">
        <w:rPr>
          <w:rFonts w:hint="eastAsia"/>
          <w:b/>
          <w:bCs/>
          <w:color w:val="E36C0A" w:themeColor="accent6" w:themeShade="BF"/>
          <w:sz w:val="32"/>
          <w:szCs w:val="32"/>
        </w:rPr>
        <w:t>关于进一步做好银行业保险业反洗钱和反恐怖融资工作的通知</w:t>
      </w:r>
    </w:p>
    <w:p w14:paraId="05EC36B6" w14:textId="77777777" w:rsidR="00402122" w:rsidRDefault="00402122" w:rsidP="00ED1FA0">
      <w:pPr>
        <w:pStyle w:val="AD"/>
        <w:jc w:val="center"/>
      </w:pPr>
      <w:r>
        <w:rPr>
          <w:rFonts w:hint="eastAsia"/>
        </w:rPr>
        <w:t>银保监办发</w:t>
      </w:r>
      <w:r>
        <w:rPr>
          <w:rFonts w:hint="eastAsia"/>
        </w:rPr>
        <w:t>[2019]238</w:t>
      </w:r>
      <w:r>
        <w:rPr>
          <w:rFonts w:hint="eastAsia"/>
        </w:rPr>
        <w:t>号</w:t>
      </w:r>
    </w:p>
    <w:p w14:paraId="395E51A3" w14:textId="77777777" w:rsidR="00402122" w:rsidRDefault="00402122" w:rsidP="00402122">
      <w:pPr>
        <w:pStyle w:val="AD"/>
        <w:rPr>
          <w:rFonts w:hint="eastAsia"/>
        </w:rPr>
      </w:pPr>
    </w:p>
    <w:p w14:paraId="726EA85D" w14:textId="77777777" w:rsidR="00402122" w:rsidRDefault="00402122" w:rsidP="00402122">
      <w:pPr>
        <w:pStyle w:val="AD"/>
      </w:pPr>
      <w:r>
        <w:rPr>
          <w:rFonts w:hint="eastAsia"/>
        </w:rPr>
        <w:t>各银保监局，各政策性银行、大型银行、股份制银行，邮储银行，外资银行，金融资产管理公司，保险公司，保险资产管理公司</w:t>
      </w:r>
      <w:r>
        <w:rPr>
          <w:rFonts w:hint="eastAsia"/>
        </w:rPr>
        <w:t>:</w:t>
      </w:r>
    </w:p>
    <w:p w14:paraId="1A3DE2EF" w14:textId="77777777" w:rsidR="00402122" w:rsidRDefault="00402122" w:rsidP="00402122">
      <w:pPr>
        <w:pStyle w:val="AD"/>
      </w:pPr>
    </w:p>
    <w:p w14:paraId="5337BB12" w14:textId="77777777" w:rsidR="00402122" w:rsidRDefault="00402122" w:rsidP="00402122">
      <w:pPr>
        <w:pStyle w:val="AD"/>
      </w:pPr>
      <w:r>
        <w:rPr>
          <w:rFonts w:hint="eastAsia"/>
        </w:rPr>
        <w:t>为加强银行业保险业反洗钱和反恐怖融资工作</w:t>
      </w:r>
      <w:r>
        <w:rPr>
          <w:rFonts w:hint="eastAsia"/>
        </w:rPr>
        <w:t xml:space="preserve">, </w:t>
      </w:r>
      <w:r>
        <w:rPr>
          <w:rFonts w:hint="eastAsia"/>
        </w:rPr>
        <w:t>提升银行保险机构反洗钱和反恐怖融资工作水平，现将有关事项通知如下：</w:t>
      </w:r>
    </w:p>
    <w:p w14:paraId="1C108FFC" w14:textId="77777777" w:rsidR="00402122" w:rsidRDefault="00402122" w:rsidP="00402122">
      <w:pPr>
        <w:pStyle w:val="AD"/>
      </w:pPr>
    </w:p>
    <w:p w14:paraId="42708658" w14:textId="77777777" w:rsidR="00402122" w:rsidRDefault="00402122" w:rsidP="00402122">
      <w:pPr>
        <w:pStyle w:val="AD"/>
      </w:pPr>
      <w:r>
        <w:rPr>
          <w:rFonts w:hint="eastAsia"/>
        </w:rPr>
        <w:t>一、银保监会及其派出机构应当按照相关法律、行政法规及规章的规定</w:t>
      </w:r>
      <w:r>
        <w:rPr>
          <w:rFonts w:hint="eastAsia"/>
        </w:rPr>
        <w:t>,</w:t>
      </w:r>
      <w:r>
        <w:rPr>
          <w:rFonts w:hint="eastAsia"/>
        </w:rPr>
        <w:t>做好银行保险机构市场准入环节的反洗钱和反恐怖融资审查工作，对于不符合条件的，不予批准。</w:t>
      </w:r>
    </w:p>
    <w:p w14:paraId="71DEC8F7" w14:textId="77777777" w:rsidR="00402122" w:rsidRDefault="00402122" w:rsidP="00402122">
      <w:pPr>
        <w:pStyle w:val="AD"/>
      </w:pPr>
    </w:p>
    <w:p w14:paraId="0AD09442" w14:textId="77777777" w:rsidR="00402122" w:rsidRDefault="00402122" w:rsidP="00402122">
      <w:pPr>
        <w:pStyle w:val="AD"/>
      </w:pPr>
      <w:r>
        <w:rPr>
          <w:rFonts w:hint="eastAsia"/>
        </w:rPr>
        <w:t>二、银保监会及其派出机构应当将反洗钱和反恐怖融资工作情况纳入机构日常监管工作范围，督促银行保险机构建立健全反洗钱和反恐怖融资内部控制机制。</w:t>
      </w:r>
    </w:p>
    <w:p w14:paraId="7ED46A6F" w14:textId="77777777" w:rsidR="00402122" w:rsidRDefault="00402122" w:rsidP="00402122">
      <w:pPr>
        <w:pStyle w:val="AD"/>
      </w:pPr>
    </w:p>
    <w:p w14:paraId="360428F3" w14:textId="77777777" w:rsidR="00402122" w:rsidRDefault="00402122" w:rsidP="00402122">
      <w:pPr>
        <w:pStyle w:val="AD"/>
      </w:pPr>
      <w:r>
        <w:rPr>
          <w:rFonts w:hint="eastAsia"/>
        </w:rPr>
        <w:t>三、银保监会及其派出机构应当在现场检查工作中贯彻反洗钱和反恐怖融资监管要求，现场检查工作要重点对机构反洗钱和反恐怖融资内控制度建立和执行情况进行检查。</w:t>
      </w:r>
    </w:p>
    <w:p w14:paraId="58A3B93C" w14:textId="77777777" w:rsidR="00402122" w:rsidRDefault="00402122" w:rsidP="00402122">
      <w:pPr>
        <w:pStyle w:val="AD"/>
      </w:pPr>
    </w:p>
    <w:p w14:paraId="1C060D2A" w14:textId="77777777" w:rsidR="00402122" w:rsidRDefault="00402122" w:rsidP="00402122">
      <w:pPr>
        <w:pStyle w:val="AD"/>
      </w:pPr>
      <w:r>
        <w:rPr>
          <w:rFonts w:hint="eastAsia"/>
        </w:rPr>
        <w:t>四、银保监会及其派出机构应当加强与人民银行及其分支机构的沟通协作，在规则制定、现场检查、非现场监管及行政处罚工作中加强沟通协调，推动形成监管合力。</w:t>
      </w:r>
    </w:p>
    <w:p w14:paraId="2F33B9FC" w14:textId="77777777" w:rsidR="00402122" w:rsidRDefault="00402122" w:rsidP="00402122">
      <w:pPr>
        <w:pStyle w:val="AD"/>
      </w:pPr>
    </w:p>
    <w:p w14:paraId="6E72B516" w14:textId="77777777" w:rsidR="00402122" w:rsidRDefault="00402122" w:rsidP="00402122">
      <w:pPr>
        <w:pStyle w:val="AD"/>
      </w:pPr>
      <w:r>
        <w:rPr>
          <w:rFonts w:hint="eastAsia"/>
        </w:rPr>
        <w:t>五、银行保险机构应当强化组织保障，加大反洗钱和反恐怖融资资源投入，加强对从业人员的反洗钱和反恐怖融资培训，提高反洗钱和反恐怖融资工作能力。</w:t>
      </w:r>
    </w:p>
    <w:p w14:paraId="419A0434" w14:textId="77777777" w:rsidR="00402122" w:rsidRDefault="00402122" w:rsidP="00402122">
      <w:pPr>
        <w:pStyle w:val="AD"/>
      </w:pPr>
    </w:p>
    <w:p w14:paraId="4CA0186E" w14:textId="77777777" w:rsidR="00402122" w:rsidRDefault="00402122" w:rsidP="00402122">
      <w:pPr>
        <w:pStyle w:val="AD"/>
      </w:pPr>
      <w:r>
        <w:rPr>
          <w:rFonts w:hint="eastAsia"/>
        </w:rPr>
        <w:t>六、各银行保险机构应当于每年度结束后</w:t>
      </w:r>
      <w:r>
        <w:rPr>
          <w:rFonts w:hint="eastAsia"/>
        </w:rPr>
        <w:t>20</w:t>
      </w:r>
      <w:r>
        <w:rPr>
          <w:rFonts w:hint="eastAsia"/>
        </w:rPr>
        <w:t>个工作日内，按照附件</w:t>
      </w:r>
      <w:r>
        <w:rPr>
          <w:rFonts w:hint="eastAsia"/>
        </w:rPr>
        <w:t>1</w:t>
      </w:r>
      <w:r>
        <w:rPr>
          <w:rFonts w:hint="eastAsia"/>
        </w:rPr>
        <w:t>规定的模板向银保监会或属地银保监局报送上年度反洗钱和反恐怖融资年度报告并填报相关附表。</w:t>
      </w:r>
    </w:p>
    <w:p w14:paraId="34D61020" w14:textId="77777777" w:rsidR="00402122" w:rsidRDefault="00402122" w:rsidP="00402122">
      <w:pPr>
        <w:pStyle w:val="AD"/>
      </w:pPr>
    </w:p>
    <w:p w14:paraId="13355F23" w14:textId="77777777" w:rsidR="00402122" w:rsidRDefault="00402122" w:rsidP="00402122">
      <w:pPr>
        <w:pStyle w:val="AD"/>
      </w:pPr>
      <w:r>
        <w:rPr>
          <w:rFonts w:hint="eastAsia"/>
        </w:rPr>
        <w:t>法人机构的反洗钱和反恐怖融资年度报告内容应当覆盖本机构总部和全部分支机构；非法人机构的反洗钱和反恐怖融资年度报告内容应当覆盖本级机构及其所辖分支机构。</w:t>
      </w:r>
    </w:p>
    <w:p w14:paraId="018F8E72" w14:textId="77777777" w:rsidR="00402122" w:rsidRDefault="00402122" w:rsidP="00402122">
      <w:pPr>
        <w:pStyle w:val="AD"/>
      </w:pPr>
    </w:p>
    <w:p w14:paraId="7B585EE3" w14:textId="77777777" w:rsidR="00402122" w:rsidRDefault="00402122" w:rsidP="00402122">
      <w:pPr>
        <w:pStyle w:val="AD"/>
      </w:pPr>
      <w:r>
        <w:rPr>
          <w:rFonts w:hint="eastAsia"/>
        </w:rPr>
        <w:t>七、银行保险机构发生下列情况的，应当及时向银保监会或属地银保监局提交临时报告：</w:t>
      </w:r>
    </w:p>
    <w:p w14:paraId="083D2281" w14:textId="77777777" w:rsidR="00402122" w:rsidRDefault="00402122" w:rsidP="00402122">
      <w:pPr>
        <w:pStyle w:val="AD"/>
      </w:pPr>
    </w:p>
    <w:p w14:paraId="2C616D6E" w14:textId="511AAF94" w:rsidR="00402122" w:rsidRDefault="00402122" w:rsidP="00402122">
      <w:pPr>
        <w:pStyle w:val="AD"/>
      </w:pPr>
      <w:r>
        <w:rPr>
          <w:rFonts w:hint="eastAsia"/>
        </w:rPr>
        <w:t>（一）主要反洗钱和反恐怖融资内部控制制度修订；</w:t>
      </w:r>
    </w:p>
    <w:p w14:paraId="30AFE223" w14:textId="77777777" w:rsidR="00402122" w:rsidRDefault="00402122" w:rsidP="00402122">
      <w:pPr>
        <w:pStyle w:val="AD"/>
      </w:pPr>
    </w:p>
    <w:p w14:paraId="66833600" w14:textId="77777777" w:rsidR="00402122" w:rsidRDefault="00402122" w:rsidP="00402122">
      <w:pPr>
        <w:pStyle w:val="AD"/>
      </w:pPr>
      <w:r>
        <w:rPr>
          <w:rFonts w:hint="eastAsia"/>
        </w:rPr>
        <w:t>（二）反洗钱和反恐怖融资工作机构和岗位人员调整、联系方式变更；</w:t>
      </w:r>
    </w:p>
    <w:p w14:paraId="52BB7D4F" w14:textId="77777777" w:rsidR="00402122" w:rsidRDefault="00402122" w:rsidP="00402122">
      <w:pPr>
        <w:pStyle w:val="AD"/>
      </w:pPr>
    </w:p>
    <w:p w14:paraId="7DC31B55" w14:textId="77777777" w:rsidR="00402122" w:rsidRDefault="00402122" w:rsidP="00402122">
      <w:pPr>
        <w:pStyle w:val="AD"/>
      </w:pPr>
      <w:r>
        <w:rPr>
          <w:rFonts w:hint="eastAsia"/>
        </w:rPr>
        <w:t>（三）涉及本机构反洗钱和反恐怖融资工作的重大风险事项；</w:t>
      </w:r>
    </w:p>
    <w:p w14:paraId="40FC91B3" w14:textId="77777777" w:rsidR="00402122" w:rsidRDefault="00402122" w:rsidP="00402122">
      <w:pPr>
        <w:pStyle w:val="AD"/>
      </w:pPr>
    </w:p>
    <w:p w14:paraId="346E69C1" w14:textId="77777777" w:rsidR="00402122" w:rsidRDefault="00402122" w:rsidP="00402122">
      <w:pPr>
        <w:pStyle w:val="AD"/>
      </w:pPr>
      <w:r>
        <w:rPr>
          <w:rFonts w:hint="eastAsia"/>
        </w:rPr>
        <w:t>（四）洗钱风险自评估报告或其他相关风险分析材料；</w:t>
      </w:r>
    </w:p>
    <w:p w14:paraId="0ADBCFE8" w14:textId="77777777" w:rsidR="00402122" w:rsidRDefault="00402122" w:rsidP="00402122">
      <w:pPr>
        <w:pStyle w:val="AD"/>
      </w:pPr>
    </w:p>
    <w:p w14:paraId="2DC3B300" w14:textId="77777777" w:rsidR="00402122" w:rsidRDefault="00402122" w:rsidP="00402122">
      <w:pPr>
        <w:pStyle w:val="AD"/>
      </w:pPr>
      <w:r>
        <w:rPr>
          <w:rFonts w:hint="eastAsia"/>
        </w:rPr>
        <w:t>（五）境外分支机构和附属机构受到当地监管部门或者司法部门与反洗钱和反恐怖融资相关的现场检查、行政处罚、刑事调查或者发生其他重大风险事项；</w:t>
      </w:r>
    </w:p>
    <w:p w14:paraId="47B6D7EC" w14:textId="77777777" w:rsidR="00402122" w:rsidRDefault="00402122" w:rsidP="00402122">
      <w:pPr>
        <w:pStyle w:val="AD"/>
      </w:pPr>
    </w:p>
    <w:p w14:paraId="4C86592B" w14:textId="77777777" w:rsidR="00402122" w:rsidRDefault="00402122" w:rsidP="00402122">
      <w:pPr>
        <w:pStyle w:val="AD"/>
      </w:pPr>
      <w:r>
        <w:rPr>
          <w:rFonts w:hint="eastAsia"/>
        </w:rPr>
        <w:t>（六）其他需要报告的反洗钱和反恐怖融资工作情况。</w:t>
      </w:r>
    </w:p>
    <w:p w14:paraId="591797B1" w14:textId="77777777" w:rsidR="00402122" w:rsidRDefault="00402122" w:rsidP="00402122">
      <w:pPr>
        <w:pStyle w:val="AD"/>
      </w:pPr>
    </w:p>
    <w:p w14:paraId="79234FAB" w14:textId="77777777" w:rsidR="00402122" w:rsidRDefault="00402122" w:rsidP="00402122">
      <w:pPr>
        <w:pStyle w:val="AD"/>
      </w:pPr>
      <w:r>
        <w:rPr>
          <w:rFonts w:hint="eastAsia"/>
        </w:rPr>
        <w:t>其中，第五项境外机构工作情况由法人机构报送。</w:t>
      </w:r>
    </w:p>
    <w:p w14:paraId="5AB44250" w14:textId="77777777" w:rsidR="00402122" w:rsidRDefault="00402122" w:rsidP="00402122">
      <w:pPr>
        <w:pStyle w:val="AD"/>
      </w:pPr>
    </w:p>
    <w:p w14:paraId="5060E62E" w14:textId="77777777" w:rsidR="00402122" w:rsidRDefault="00402122" w:rsidP="00402122">
      <w:pPr>
        <w:pStyle w:val="AD"/>
      </w:pPr>
      <w:r>
        <w:rPr>
          <w:rFonts w:hint="eastAsia"/>
        </w:rPr>
        <w:t>八、银行保险机构反洗钱和反恐怖融资年度报告和临时报告按照以下路径报送：</w:t>
      </w:r>
    </w:p>
    <w:p w14:paraId="306B5ADD" w14:textId="77777777" w:rsidR="00402122" w:rsidRDefault="00402122" w:rsidP="00402122">
      <w:pPr>
        <w:pStyle w:val="AD"/>
      </w:pPr>
    </w:p>
    <w:p w14:paraId="21899632" w14:textId="77777777" w:rsidR="00402122" w:rsidRDefault="00402122" w:rsidP="00402122">
      <w:pPr>
        <w:pStyle w:val="AD"/>
      </w:pPr>
      <w:r>
        <w:rPr>
          <w:rFonts w:hint="eastAsia"/>
        </w:rPr>
        <w:t>（一）各会管银行业金融机构向银保监会报送反洗钱和反恐怖融资工作材料，各地方法人银行业金融机构和会管银行业金融机构的分支机构向属地银保监局报送反洗钱和反恐怖融资工作材料。</w:t>
      </w:r>
    </w:p>
    <w:p w14:paraId="3653C1B3" w14:textId="77777777" w:rsidR="00402122" w:rsidRDefault="00402122" w:rsidP="00402122">
      <w:pPr>
        <w:pStyle w:val="AD"/>
      </w:pPr>
    </w:p>
    <w:p w14:paraId="463AB915" w14:textId="77777777" w:rsidR="00402122" w:rsidRDefault="00402122" w:rsidP="00402122">
      <w:pPr>
        <w:pStyle w:val="AD"/>
      </w:pPr>
      <w:r>
        <w:rPr>
          <w:rFonts w:hint="eastAsia"/>
        </w:rPr>
        <w:t>（二）各保险公司、保险资产管理公司向银保监会报送反洗钱和反恐怖融资工作材料，各保险公司省级分支机构汇总本级及以下分支机构的反洗钱和反恐怖融资工作材料向属地银保监局报送。</w:t>
      </w:r>
    </w:p>
    <w:p w14:paraId="55DB384A" w14:textId="77777777" w:rsidR="00402122" w:rsidRDefault="00402122" w:rsidP="00402122">
      <w:pPr>
        <w:pStyle w:val="AD"/>
      </w:pPr>
    </w:p>
    <w:p w14:paraId="560B4AAB" w14:textId="77777777" w:rsidR="00402122" w:rsidRDefault="00402122" w:rsidP="00402122">
      <w:pPr>
        <w:pStyle w:val="AD"/>
      </w:pPr>
      <w:r>
        <w:rPr>
          <w:rFonts w:hint="eastAsia"/>
        </w:rPr>
        <w:t>九、各保险公司、保险资产管理公司法人机构应当于每季度结束后</w:t>
      </w:r>
      <w:r>
        <w:rPr>
          <w:rFonts w:hint="eastAsia"/>
        </w:rPr>
        <w:t>10</w:t>
      </w:r>
      <w:r>
        <w:rPr>
          <w:rFonts w:hint="eastAsia"/>
        </w:rPr>
        <w:t>个工作日内，按照附件</w:t>
      </w:r>
      <w:r>
        <w:rPr>
          <w:rFonts w:hint="eastAsia"/>
        </w:rPr>
        <w:t>2</w:t>
      </w:r>
      <w:r>
        <w:rPr>
          <w:rFonts w:hint="eastAsia"/>
        </w:rPr>
        <w:t>规定的模板通过互联网“保险监管专项数据采集平台”向银保监会报送协助查证洗钱案件信息。</w:t>
      </w:r>
    </w:p>
    <w:p w14:paraId="0A3C6F85" w14:textId="77777777" w:rsidR="00402122" w:rsidRDefault="00402122" w:rsidP="00402122">
      <w:pPr>
        <w:pStyle w:val="AD"/>
      </w:pPr>
    </w:p>
    <w:p w14:paraId="4B8EFC49" w14:textId="77777777" w:rsidR="00402122" w:rsidRDefault="00402122" w:rsidP="00402122">
      <w:pPr>
        <w:pStyle w:val="AD"/>
      </w:pPr>
      <w:r>
        <w:rPr>
          <w:rFonts w:hint="eastAsia"/>
        </w:rPr>
        <w:t>十、各银保监局应当于每年</w:t>
      </w:r>
      <w:r>
        <w:rPr>
          <w:rFonts w:hint="eastAsia"/>
        </w:rPr>
        <w:t>3</w:t>
      </w:r>
      <w:r>
        <w:rPr>
          <w:rFonts w:hint="eastAsia"/>
        </w:rPr>
        <w:t>月</w:t>
      </w:r>
      <w:r>
        <w:rPr>
          <w:rFonts w:hint="eastAsia"/>
        </w:rPr>
        <w:t>31</w:t>
      </w:r>
      <w:r>
        <w:rPr>
          <w:rFonts w:hint="eastAsia"/>
        </w:rPr>
        <w:t>日前，按照附件</w:t>
      </w:r>
      <w:r>
        <w:rPr>
          <w:rFonts w:hint="eastAsia"/>
        </w:rPr>
        <w:t>3</w:t>
      </w:r>
      <w:r>
        <w:rPr>
          <w:rFonts w:hint="eastAsia"/>
        </w:rPr>
        <w:t>规定的模板向银保监会报送上年度反洗钱和反恐怖融资工作报告，并填报相关附表。</w:t>
      </w:r>
    </w:p>
    <w:p w14:paraId="4771547C" w14:textId="77777777" w:rsidR="00402122" w:rsidRDefault="00402122" w:rsidP="00402122">
      <w:pPr>
        <w:pStyle w:val="AD"/>
      </w:pPr>
    </w:p>
    <w:p w14:paraId="61C2FC53" w14:textId="77777777" w:rsidR="00402122" w:rsidRDefault="00402122" w:rsidP="00402122">
      <w:pPr>
        <w:pStyle w:val="AD"/>
      </w:pPr>
      <w:r>
        <w:rPr>
          <w:rFonts w:hint="eastAsia"/>
        </w:rPr>
        <w:t>各银行保险机构</w:t>
      </w:r>
      <w:r>
        <w:rPr>
          <w:rFonts w:hint="eastAsia"/>
        </w:rPr>
        <w:t>2019</w:t>
      </w:r>
      <w:r>
        <w:rPr>
          <w:rFonts w:hint="eastAsia"/>
        </w:rPr>
        <w:t>年反洗钱和反恐怖融资年度报告请于</w:t>
      </w:r>
      <w:r>
        <w:rPr>
          <w:rFonts w:hint="eastAsia"/>
        </w:rPr>
        <w:t>2020</w:t>
      </w:r>
      <w:r>
        <w:rPr>
          <w:rFonts w:hint="eastAsia"/>
        </w:rPr>
        <w:t>年</w:t>
      </w:r>
      <w:r>
        <w:rPr>
          <w:rFonts w:hint="eastAsia"/>
        </w:rPr>
        <w:t>2</w:t>
      </w:r>
      <w:r>
        <w:rPr>
          <w:rFonts w:hint="eastAsia"/>
        </w:rPr>
        <w:t>月</w:t>
      </w:r>
      <w:r>
        <w:rPr>
          <w:rFonts w:hint="eastAsia"/>
        </w:rPr>
        <w:t>15</w:t>
      </w:r>
      <w:r>
        <w:rPr>
          <w:rFonts w:hint="eastAsia"/>
        </w:rPr>
        <w:t>日前报送。《关于加强保险业反洗钱工作信息报送的通知》（保监稽查〔</w:t>
      </w:r>
      <w:r>
        <w:rPr>
          <w:rFonts w:hint="eastAsia"/>
        </w:rPr>
        <w:t>2016</w:t>
      </w:r>
      <w:r>
        <w:rPr>
          <w:rFonts w:hint="eastAsia"/>
        </w:rPr>
        <w:t>〕</w:t>
      </w:r>
      <w:r>
        <w:rPr>
          <w:rFonts w:hint="eastAsia"/>
        </w:rPr>
        <w:t>273</w:t>
      </w:r>
      <w:r>
        <w:rPr>
          <w:rFonts w:hint="eastAsia"/>
        </w:rPr>
        <w:t>号）自本通知印发之日起废止。</w:t>
      </w:r>
    </w:p>
    <w:p w14:paraId="1056EFD8" w14:textId="77777777" w:rsidR="00402122" w:rsidRDefault="00402122" w:rsidP="00402122">
      <w:pPr>
        <w:pStyle w:val="AD"/>
      </w:pPr>
    </w:p>
    <w:p w14:paraId="723BF653" w14:textId="77777777" w:rsidR="00402122" w:rsidRDefault="00402122" w:rsidP="00402122">
      <w:pPr>
        <w:pStyle w:val="AD"/>
      </w:pPr>
    </w:p>
    <w:p w14:paraId="0165CB96" w14:textId="4FEDE2ED" w:rsidR="00402122" w:rsidRDefault="00402122" w:rsidP="00402122">
      <w:pPr>
        <w:pStyle w:val="AD"/>
      </w:pPr>
      <w:r>
        <w:rPr>
          <w:rFonts w:hint="eastAsia"/>
        </w:rPr>
        <w:t>附件：</w:t>
      </w:r>
      <w:r>
        <w:rPr>
          <w:rFonts w:hint="eastAsia"/>
        </w:rPr>
        <w:t>1.</w:t>
      </w:r>
      <w:hyperlink r:id="rId6" w:history="1">
        <w:r w:rsidRPr="006D526C">
          <w:rPr>
            <w:rStyle w:val="a9"/>
            <w:rFonts w:hint="eastAsia"/>
          </w:rPr>
          <w:t>银行保险机构反洗钱和反恐怖融资年度报告模板</w:t>
        </w:r>
      </w:hyperlink>
    </w:p>
    <w:p w14:paraId="64DA331C" w14:textId="0A0BEDF3" w:rsidR="00402122" w:rsidRDefault="00402122" w:rsidP="00402122">
      <w:pPr>
        <w:pStyle w:val="AD"/>
      </w:pPr>
      <w:r>
        <w:rPr>
          <w:rFonts w:hint="eastAsia"/>
        </w:rPr>
        <w:t xml:space="preserve">      2.</w:t>
      </w:r>
      <w:hyperlink r:id="rId7" w:history="1">
        <w:r w:rsidRPr="006D526C">
          <w:rPr>
            <w:rStyle w:val="a9"/>
            <w:rFonts w:hint="eastAsia"/>
          </w:rPr>
          <w:t>保险公司、保险资产管理公司季度报告模板</w:t>
        </w:r>
      </w:hyperlink>
      <w:r>
        <w:rPr>
          <w:rFonts w:hint="eastAsia"/>
        </w:rPr>
        <w:t xml:space="preserve"> </w:t>
      </w:r>
    </w:p>
    <w:p w14:paraId="4E69AFF5" w14:textId="1713D8ED" w:rsidR="00402122" w:rsidRDefault="00402122" w:rsidP="00402122">
      <w:pPr>
        <w:pStyle w:val="AD"/>
      </w:pPr>
      <w:r>
        <w:rPr>
          <w:rFonts w:hint="eastAsia"/>
        </w:rPr>
        <w:t xml:space="preserve">      3.</w:t>
      </w:r>
      <w:hyperlink r:id="rId8" w:history="1">
        <w:r w:rsidRPr="006D526C">
          <w:rPr>
            <w:rStyle w:val="a9"/>
            <w:rFonts w:hint="eastAsia"/>
          </w:rPr>
          <w:t>银保监局反洗钱和反恐怖融资年度报告模板</w:t>
        </w:r>
      </w:hyperlink>
      <w:bookmarkStart w:id="0" w:name="_GoBack"/>
      <w:bookmarkEnd w:id="0"/>
    </w:p>
    <w:p w14:paraId="47901FB9" w14:textId="77777777" w:rsidR="00402122" w:rsidRDefault="00402122" w:rsidP="00402122">
      <w:pPr>
        <w:pStyle w:val="AD"/>
      </w:pPr>
    </w:p>
    <w:p w14:paraId="7F1DCE40" w14:textId="77777777" w:rsidR="00402122" w:rsidRDefault="00402122" w:rsidP="00402122">
      <w:pPr>
        <w:pStyle w:val="AD"/>
      </w:pPr>
    </w:p>
    <w:p w14:paraId="357E697B" w14:textId="2F61785B" w:rsidR="00402122" w:rsidRDefault="00402122" w:rsidP="00ED1FA0">
      <w:pPr>
        <w:pStyle w:val="AD"/>
        <w:jc w:val="right"/>
      </w:pPr>
      <w:r>
        <w:rPr>
          <w:rFonts w:hint="eastAsia"/>
        </w:rPr>
        <w:t>中国银保监会办公厅</w:t>
      </w:r>
    </w:p>
    <w:p w14:paraId="36E8ACF8" w14:textId="4137BE27" w:rsidR="00B15193" w:rsidRDefault="00402122" w:rsidP="00ED1FA0">
      <w:pPr>
        <w:pStyle w:val="AD"/>
        <w:jc w:val="right"/>
      </w:pPr>
      <w:r>
        <w:rPr>
          <w:rFonts w:hint="eastAsia"/>
        </w:rPr>
        <w:t>2019</w:t>
      </w:r>
      <w:r>
        <w:rPr>
          <w:rFonts w:hint="eastAsia"/>
        </w:rPr>
        <w:t>年</w:t>
      </w:r>
      <w:r>
        <w:rPr>
          <w:rFonts w:hint="eastAsia"/>
        </w:rPr>
        <w:t>12</w:t>
      </w:r>
      <w:r>
        <w:rPr>
          <w:rFonts w:hint="eastAsia"/>
        </w:rPr>
        <w:t>月</w:t>
      </w:r>
      <w:r>
        <w:rPr>
          <w:rFonts w:hint="eastAsia"/>
        </w:rPr>
        <w:t>30</w:t>
      </w:r>
      <w:r>
        <w:rPr>
          <w:rFonts w:hint="eastAsia"/>
        </w:rPr>
        <w:t>日</w:t>
      </w:r>
    </w:p>
    <w:p w14:paraId="1A616041" w14:textId="24B64E18" w:rsidR="00402122" w:rsidRDefault="00402122" w:rsidP="00402122">
      <w:pPr>
        <w:pStyle w:val="AD"/>
      </w:pPr>
    </w:p>
    <w:p w14:paraId="00DEB634" w14:textId="7B00A74D" w:rsidR="00402122" w:rsidRDefault="00402122" w:rsidP="00402122">
      <w:pPr>
        <w:pStyle w:val="AD"/>
      </w:pPr>
    </w:p>
    <w:p w14:paraId="631F40F0" w14:textId="1F105B53" w:rsidR="00402122" w:rsidRDefault="00402122" w:rsidP="00402122">
      <w:pPr>
        <w:pStyle w:val="AD"/>
        <w:rPr>
          <w:rStyle w:val="a9"/>
        </w:rPr>
      </w:pPr>
      <w:r>
        <w:rPr>
          <w:rFonts w:hint="eastAsia"/>
        </w:rPr>
        <w:t>信息来源：</w:t>
      </w:r>
      <w:hyperlink r:id="rId9" w:history="1">
        <w:r>
          <w:rPr>
            <w:rStyle w:val="a9"/>
          </w:rPr>
          <w:t>http://www.cbirc.gov.cn/cn/view/pages/ItemDetail.html?docId=881438&amp;itemId=926</w:t>
        </w:r>
      </w:hyperlink>
    </w:p>
    <w:p w14:paraId="518C3A45" w14:textId="77777777" w:rsidR="001F2149" w:rsidRDefault="001F2149" w:rsidP="00402122">
      <w:pPr>
        <w:pStyle w:val="AD"/>
      </w:pPr>
    </w:p>
    <w:sectPr w:rsidR="001F21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D23D" w14:textId="77777777" w:rsidR="003509CD" w:rsidRDefault="003509CD" w:rsidP="00C20A6A">
      <w:pPr>
        <w:spacing w:line="240" w:lineRule="auto"/>
      </w:pPr>
      <w:r>
        <w:separator/>
      </w:r>
    </w:p>
  </w:endnote>
  <w:endnote w:type="continuationSeparator" w:id="0">
    <w:p w14:paraId="4E116554" w14:textId="77777777" w:rsidR="003509CD" w:rsidRDefault="003509C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D3FFC" w14:textId="77777777" w:rsidR="003509CD" w:rsidRDefault="003509CD" w:rsidP="00C20A6A">
      <w:pPr>
        <w:spacing w:line="240" w:lineRule="auto"/>
      </w:pPr>
      <w:r>
        <w:separator/>
      </w:r>
    </w:p>
  </w:footnote>
  <w:footnote w:type="continuationSeparator" w:id="0">
    <w:p w14:paraId="036EE85C" w14:textId="77777777" w:rsidR="003509CD" w:rsidRDefault="003509C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7DFF"/>
    <w:rsid w:val="000F4C6A"/>
    <w:rsid w:val="00176A25"/>
    <w:rsid w:val="001C4C6F"/>
    <w:rsid w:val="001F2149"/>
    <w:rsid w:val="003509CD"/>
    <w:rsid w:val="003D27E2"/>
    <w:rsid w:val="00402122"/>
    <w:rsid w:val="005F7C76"/>
    <w:rsid w:val="006D526C"/>
    <w:rsid w:val="00751503"/>
    <w:rsid w:val="007D7BDB"/>
    <w:rsid w:val="00A548E7"/>
    <w:rsid w:val="00AF7DFF"/>
    <w:rsid w:val="00B15193"/>
    <w:rsid w:val="00B731F1"/>
    <w:rsid w:val="00C20A6A"/>
    <w:rsid w:val="00C22624"/>
    <w:rsid w:val="00D02718"/>
    <w:rsid w:val="00ED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DA13"/>
  <w15:chartTrackingRefBased/>
  <w15:docId w15:val="{E17EB18C-63EE-4A71-84FA-CF37A3D0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02122"/>
    <w:pPr>
      <w:ind w:leftChars="2500" w:left="100"/>
    </w:pPr>
  </w:style>
  <w:style w:type="character" w:customStyle="1" w:styleId="a8">
    <w:name w:val="日期 字符"/>
    <w:basedOn w:val="a0"/>
    <w:link w:val="a7"/>
    <w:uiPriority w:val="99"/>
    <w:semiHidden/>
    <w:rsid w:val="00402122"/>
    <w:rPr>
      <w:rFonts w:ascii="Arial" w:eastAsia="宋体" w:hAnsi="Arial"/>
      <w:sz w:val="22"/>
    </w:rPr>
  </w:style>
  <w:style w:type="character" w:styleId="a9">
    <w:name w:val="Hyperlink"/>
    <w:basedOn w:val="a0"/>
    <w:uiPriority w:val="99"/>
    <w:unhideWhenUsed/>
    <w:rsid w:val="00402122"/>
    <w:rPr>
      <w:color w:val="0000FF"/>
      <w:u w:val="single"/>
    </w:rPr>
  </w:style>
  <w:style w:type="character" w:styleId="aa">
    <w:name w:val="Unresolved Mention"/>
    <w:basedOn w:val="a0"/>
    <w:uiPriority w:val="99"/>
    <w:semiHidden/>
    <w:unhideWhenUsed/>
    <w:rsid w:val="006D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00109006_03.doc" TargetMode="External"/><Relationship Id="rId3" Type="http://schemas.openxmlformats.org/officeDocument/2006/relationships/webSettings" Target="webSettings.xml"/><Relationship Id="rId7" Type="http://schemas.openxmlformats.org/officeDocument/2006/relationships/hyperlink" Target="http://centrum.hhp.com.cn/newlaw/20200109006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109006_0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birc.gov.cn/cn/view/pages/ItemDetail.html?docId=881438&amp;itemId=92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2020-01-09T12:18:00Z</dcterms:created>
  <dcterms:modified xsi:type="dcterms:W3CDTF">2020-04-02T11:18:00Z</dcterms:modified>
</cp:coreProperties>
</file>